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06C" w:rsidRDefault="00EF006C" w:rsidP="00EF006C">
      <w:pPr>
        <w:spacing w:line="648" w:lineRule="auto"/>
        <w:rPr>
          <w:rFonts w:ascii="黑体" w:eastAsia="黑体" w:hAnsi="黑体"/>
          <w:sz w:val="32"/>
          <w:szCs w:val="32"/>
        </w:rPr>
      </w:pPr>
    </w:p>
    <w:p w:rsidR="00EF006C" w:rsidRDefault="00EF006C" w:rsidP="00EF006C">
      <w:pPr>
        <w:jc w:val="center"/>
        <w:outlineLvl w:val="0"/>
        <w:rPr>
          <w:rFonts w:ascii="方正小标宋_GBK" w:eastAsia="方正小标宋_GBK" w:hAnsi="华文中宋"/>
          <w:sz w:val="40"/>
          <w:szCs w:val="40"/>
        </w:rPr>
      </w:pPr>
    </w:p>
    <w:p w:rsidR="00EF006C" w:rsidRPr="00C94AB9" w:rsidRDefault="00EF006C" w:rsidP="00EF006C">
      <w:pPr>
        <w:jc w:val="center"/>
        <w:outlineLvl w:val="0"/>
        <w:rPr>
          <w:rFonts w:ascii="方正小标宋_GBK" w:eastAsia="方正小标宋_GBK" w:hAnsi="华文中宋"/>
          <w:sz w:val="38"/>
          <w:szCs w:val="38"/>
        </w:rPr>
      </w:pPr>
      <w:r w:rsidRPr="00C94AB9">
        <w:rPr>
          <w:rFonts w:ascii="方正小标宋_GBK" w:eastAsia="方正小标宋_GBK" w:hAnsi="华文中宋" w:hint="eastAsia"/>
          <w:sz w:val="38"/>
          <w:szCs w:val="38"/>
        </w:rPr>
        <w:t>研究</w:t>
      </w:r>
      <w:r w:rsidRPr="00C94AB9">
        <w:rPr>
          <w:rFonts w:ascii="方正小标宋_GBK" w:eastAsia="方正小标宋_GBK" w:hAnsi="华文中宋" w:hint="eastAsia"/>
          <w:color w:val="000000"/>
          <w:sz w:val="38"/>
          <w:szCs w:val="38"/>
        </w:rPr>
        <w:t>堆</w:t>
      </w:r>
      <w:r w:rsidRPr="00C94AB9">
        <w:rPr>
          <w:rFonts w:ascii="方正小标宋_GBK" w:eastAsia="方正小标宋_GBK" w:hAnsi="华文中宋" w:hint="eastAsia"/>
          <w:sz w:val="38"/>
          <w:szCs w:val="38"/>
        </w:rPr>
        <w:t>营运单位核安全报告规定</w:t>
      </w:r>
    </w:p>
    <w:p w:rsidR="00EF006C" w:rsidRDefault="00EF006C" w:rsidP="00EF006C">
      <w:pPr>
        <w:spacing w:line="560" w:lineRule="exact"/>
        <w:jc w:val="center"/>
        <w:outlineLvl w:val="0"/>
        <w:rPr>
          <w:rFonts w:ascii="方正小标宋_GBK" w:eastAsia="方正小标宋_GBK" w:hAnsi="华文中宋"/>
          <w:sz w:val="40"/>
          <w:szCs w:val="40"/>
        </w:rPr>
      </w:pPr>
    </w:p>
    <w:p w:rsidR="00EF006C" w:rsidRDefault="00EF006C" w:rsidP="00EF006C">
      <w:pPr>
        <w:spacing w:line="560" w:lineRule="exact"/>
        <w:jc w:val="center"/>
        <w:outlineLvl w:val="0"/>
        <w:rPr>
          <w:rFonts w:ascii="方正小标宋_GBK" w:eastAsia="方正小标宋_GBK" w:hAnsi="华文中宋"/>
          <w:sz w:val="40"/>
          <w:szCs w:val="40"/>
        </w:rPr>
      </w:pPr>
    </w:p>
    <w:p w:rsidR="00EF006C" w:rsidRDefault="00EF006C" w:rsidP="00EF006C">
      <w:pPr>
        <w:spacing w:line="560" w:lineRule="exact"/>
        <w:jc w:val="center"/>
        <w:outlineLvl w:val="0"/>
        <w:rPr>
          <w:rFonts w:ascii="方正小标宋_GBK" w:eastAsia="方正小标宋_GBK" w:hAnsi="华文中宋"/>
          <w:sz w:val="40"/>
          <w:szCs w:val="40"/>
        </w:rPr>
      </w:pPr>
    </w:p>
    <w:p w:rsidR="00EF006C" w:rsidRPr="00F476FB" w:rsidRDefault="00EF006C" w:rsidP="00EF006C">
      <w:pPr>
        <w:pStyle w:val="WPSOffice1"/>
        <w:tabs>
          <w:tab w:val="right" w:leader="dot" w:pos="8306"/>
        </w:tabs>
        <w:jc w:val="center"/>
        <w:rPr>
          <w:rFonts w:ascii="黑体" w:eastAsia="黑体" w:hAnsi="黑体" w:cs="仿宋_GB2312"/>
          <w:bCs/>
          <w:sz w:val="36"/>
          <w:szCs w:val="36"/>
        </w:rPr>
      </w:pPr>
      <w:r w:rsidRPr="00F476FB">
        <w:rPr>
          <w:rFonts w:ascii="黑体" w:eastAsia="黑体" w:hAnsi="黑体" w:cs="仿宋_GB2312" w:hint="eastAsia"/>
          <w:bCs/>
          <w:sz w:val="36"/>
          <w:szCs w:val="36"/>
        </w:rPr>
        <w:t>目  录</w:t>
      </w:r>
    </w:p>
    <w:p w:rsidR="00EF006C" w:rsidRDefault="00EF006C" w:rsidP="00EF006C">
      <w:pPr>
        <w:pStyle w:val="p0"/>
        <w:widowControl w:val="0"/>
        <w:spacing w:line="560" w:lineRule="exact"/>
        <w:rPr>
          <w:rFonts w:ascii="仿宋_GB2312" w:hAnsi="仿宋_GB2312" w:cs="仿宋_GB2312"/>
          <w:szCs w:val="32"/>
        </w:rPr>
      </w:pPr>
    </w:p>
    <w:bookmarkStart w:id="0" w:name="_Toc1359124930_WPSOffice_Type1"/>
    <w:p w:rsidR="00EF006C" w:rsidRPr="000A64B2" w:rsidRDefault="00EF006C" w:rsidP="000A64B2">
      <w:pPr>
        <w:pStyle w:val="WPSOffice1"/>
        <w:tabs>
          <w:tab w:val="right" w:leader="dot" w:pos="8306"/>
        </w:tabs>
        <w:adjustRightInd w:val="0"/>
        <w:snapToGrid w:val="0"/>
        <w:spacing w:line="360" w:lineRule="auto"/>
        <w:ind w:leftChars="304" w:left="825" w:hangingChars="62" w:hanging="187"/>
        <w:rPr>
          <w:rFonts w:ascii="仿宋_GB2312" w:eastAsia="仿宋_GB2312" w:hAnsi="仿宋_GB2312" w:cs="仿宋_GB2312"/>
          <w:b/>
          <w:sz w:val="30"/>
          <w:szCs w:val="30"/>
        </w:rPr>
      </w:pPr>
      <w:r w:rsidRPr="000A64B2">
        <w:rPr>
          <w:rFonts w:ascii="仿宋_GB2312" w:eastAsia="仿宋_GB2312" w:hAnsi="仿宋_GB2312" w:cs="仿宋_GB2312" w:hint="eastAsia"/>
          <w:b/>
          <w:sz w:val="30"/>
          <w:szCs w:val="30"/>
        </w:rPr>
        <w:fldChar w:fldCharType="begin"/>
      </w:r>
      <w:r w:rsidRPr="000A64B2">
        <w:rPr>
          <w:rFonts w:ascii="仿宋_GB2312" w:eastAsia="仿宋_GB2312" w:hAnsi="仿宋_GB2312" w:cs="仿宋_GB2312" w:hint="eastAsia"/>
          <w:b/>
          <w:sz w:val="30"/>
          <w:szCs w:val="30"/>
        </w:rPr>
        <w:instrText xml:space="preserve"> HYPERLINK \l _Toc759346025_WPSOffice_Level1 </w:instrText>
      </w:r>
      <w:r w:rsidRPr="000A64B2">
        <w:rPr>
          <w:rFonts w:ascii="仿宋_GB2312" w:eastAsia="仿宋_GB2312" w:hAnsi="仿宋_GB2312" w:cs="仿宋_GB2312" w:hint="eastAsia"/>
          <w:b/>
          <w:sz w:val="30"/>
          <w:szCs w:val="30"/>
        </w:rPr>
        <w:fldChar w:fldCharType="separate"/>
      </w:r>
      <w:r w:rsidRPr="000A64B2">
        <w:rPr>
          <w:rFonts w:ascii="仿宋_GB2312" w:eastAsia="仿宋_GB2312" w:hAnsi="仿宋_GB2312" w:cs="仿宋_GB2312" w:hint="eastAsia"/>
          <w:b/>
          <w:sz w:val="30"/>
          <w:szCs w:val="30"/>
        </w:rPr>
        <w:t>第一章  总  则</w:t>
      </w:r>
      <w:r w:rsidRPr="000A64B2">
        <w:rPr>
          <w:rFonts w:ascii="仿宋_GB2312" w:eastAsia="仿宋_GB2312" w:hAnsi="仿宋_GB2312" w:cs="仿宋_GB2312" w:hint="eastAsia"/>
          <w:b/>
          <w:sz w:val="30"/>
          <w:szCs w:val="30"/>
        </w:rPr>
        <w:fldChar w:fldCharType="end"/>
      </w:r>
    </w:p>
    <w:p w:rsidR="00EF006C" w:rsidRPr="000A64B2" w:rsidRDefault="003C5C26" w:rsidP="003F2306">
      <w:pPr>
        <w:pStyle w:val="WPSOffice1"/>
        <w:tabs>
          <w:tab w:val="right" w:leader="dot" w:pos="8306"/>
        </w:tabs>
        <w:adjustRightInd w:val="0"/>
        <w:snapToGrid w:val="0"/>
        <w:spacing w:line="360" w:lineRule="auto"/>
        <w:ind w:leftChars="304" w:left="762" w:hangingChars="62" w:hanging="124"/>
        <w:rPr>
          <w:rFonts w:ascii="仿宋_GB2312" w:eastAsia="仿宋_GB2312" w:hAnsi="仿宋_GB2312" w:cs="仿宋_GB2312"/>
          <w:b/>
          <w:sz w:val="30"/>
          <w:szCs w:val="30"/>
        </w:rPr>
      </w:pPr>
      <w:hyperlink w:anchor="_Toc779747985_WPSOffice_Level1" w:history="1">
        <w:r w:rsidR="00EF006C" w:rsidRPr="000A64B2">
          <w:rPr>
            <w:rFonts w:ascii="仿宋_GB2312" w:eastAsia="仿宋_GB2312" w:hAnsi="仿宋_GB2312" w:cs="仿宋_GB2312" w:hint="eastAsia"/>
            <w:b/>
            <w:sz w:val="30"/>
            <w:szCs w:val="30"/>
          </w:rPr>
          <w:t>第二章  定期报告</w:t>
        </w:r>
      </w:hyperlink>
    </w:p>
    <w:p w:rsidR="00EF006C" w:rsidRPr="000A64B2" w:rsidRDefault="003C5C26" w:rsidP="00EF006C">
      <w:pPr>
        <w:pStyle w:val="WPSOffice1"/>
        <w:tabs>
          <w:tab w:val="right" w:leader="dot" w:pos="8306"/>
        </w:tabs>
        <w:adjustRightInd w:val="0"/>
        <w:snapToGrid w:val="0"/>
        <w:spacing w:line="360" w:lineRule="auto"/>
        <w:ind w:leftChars="303" w:left="636"/>
        <w:rPr>
          <w:rFonts w:ascii="仿宋_GB2312" w:eastAsia="仿宋_GB2312" w:hAnsi="仿宋_GB2312" w:cs="仿宋_GB2312"/>
          <w:b/>
          <w:sz w:val="30"/>
          <w:szCs w:val="30"/>
        </w:rPr>
      </w:pPr>
      <w:hyperlink w:anchor="_Toc1046139596_WPSOffice_Level1" w:history="1">
        <w:r w:rsidR="00EF006C" w:rsidRPr="000A64B2">
          <w:rPr>
            <w:rFonts w:ascii="仿宋_GB2312" w:eastAsia="仿宋_GB2312" w:hAnsi="仿宋_GB2312" w:cs="仿宋_GB2312" w:hint="eastAsia"/>
            <w:b/>
            <w:sz w:val="30"/>
            <w:szCs w:val="30"/>
          </w:rPr>
          <w:t>第三章  重要活动报告</w:t>
        </w:r>
      </w:hyperlink>
    </w:p>
    <w:p w:rsidR="00EF006C" w:rsidRPr="000A64B2" w:rsidRDefault="003C5C26" w:rsidP="003F2306">
      <w:pPr>
        <w:pStyle w:val="WPSOffice1"/>
        <w:tabs>
          <w:tab w:val="right" w:leader="dot" w:pos="8306"/>
        </w:tabs>
        <w:adjustRightInd w:val="0"/>
        <w:snapToGrid w:val="0"/>
        <w:spacing w:line="360" w:lineRule="auto"/>
        <w:ind w:leftChars="304" w:left="762" w:hangingChars="62" w:hanging="124"/>
        <w:rPr>
          <w:rFonts w:ascii="仿宋_GB2312" w:eastAsia="仿宋_GB2312" w:hAnsi="仿宋_GB2312" w:cs="仿宋_GB2312"/>
          <w:b/>
          <w:sz w:val="30"/>
          <w:szCs w:val="30"/>
        </w:rPr>
      </w:pPr>
      <w:hyperlink w:anchor="_Toc4510994_WPSOffice_Level1" w:history="1">
        <w:r w:rsidR="00EF006C" w:rsidRPr="000A64B2">
          <w:rPr>
            <w:rFonts w:ascii="仿宋_GB2312" w:eastAsia="仿宋_GB2312" w:hAnsi="仿宋_GB2312" w:cs="仿宋_GB2312" w:hint="eastAsia"/>
            <w:b/>
            <w:sz w:val="30"/>
            <w:szCs w:val="30"/>
          </w:rPr>
          <w:t>第四章  事件报告</w:t>
        </w:r>
      </w:hyperlink>
    </w:p>
    <w:p w:rsidR="00EF006C" w:rsidRPr="000A64B2" w:rsidRDefault="003C5C26" w:rsidP="003F2306">
      <w:pPr>
        <w:pStyle w:val="WPSOffice1"/>
        <w:tabs>
          <w:tab w:val="right" w:leader="dot" w:pos="8306"/>
        </w:tabs>
        <w:adjustRightInd w:val="0"/>
        <w:snapToGrid w:val="0"/>
        <w:spacing w:line="360" w:lineRule="auto"/>
        <w:ind w:leftChars="304" w:left="762" w:hangingChars="62" w:hanging="124"/>
        <w:rPr>
          <w:rFonts w:ascii="仿宋_GB2312" w:eastAsia="仿宋_GB2312" w:hAnsi="仿宋_GB2312" w:cs="仿宋_GB2312"/>
          <w:b/>
          <w:sz w:val="30"/>
          <w:szCs w:val="30"/>
        </w:rPr>
      </w:pPr>
      <w:hyperlink w:anchor="_Toc1674644443_WPSOffice_Level1" w:history="1">
        <w:r w:rsidR="00EF006C" w:rsidRPr="000A64B2">
          <w:rPr>
            <w:rFonts w:ascii="仿宋_GB2312" w:eastAsia="仿宋_GB2312" w:hAnsi="仿宋_GB2312" w:cs="仿宋_GB2312" w:hint="eastAsia"/>
            <w:b/>
            <w:sz w:val="30"/>
            <w:szCs w:val="30"/>
          </w:rPr>
          <w:t>第五章  核事故应急报告</w:t>
        </w:r>
      </w:hyperlink>
    </w:p>
    <w:p w:rsidR="00EF006C" w:rsidRPr="000A64B2" w:rsidRDefault="003C5C26" w:rsidP="003F2306">
      <w:pPr>
        <w:pStyle w:val="WPSOffice1"/>
        <w:tabs>
          <w:tab w:val="right" w:leader="dot" w:pos="8306"/>
        </w:tabs>
        <w:adjustRightInd w:val="0"/>
        <w:snapToGrid w:val="0"/>
        <w:spacing w:line="360" w:lineRule="auto"/>
        <w:ind w:leftChars="304" w:left="762" w:hangingChars="62" w:hanging="124"/>
        <w:rPr>
          <w:rFonts w:ascii="仿宋_GB2312" w:eastAsia="仿宋_GB2312" w:hAnsi="仿宋_GB2312" w:cs="仿宋_GB2312"/>
          <w:b/>
          <w:sz w:val="30"/>
          <w:szCs w:val="30"/>
        </w:rPr>
      </w:pPr>
      <w:hyperlink w:anchor="_Toc1245512158_WPSOffice_Level1" w:history="1">
        <w:r w:rsidR="00EF006C" w:rsidRPr="000A64B2">
          <w:rPr>
            <w:rFonts w:ascii="仿宋_GB2312" w:eastAsia="仿宋_GB2312" w:hAnsi="仿宋_GB2312" w:cs="仿宋_GB2312" w:hint="eastAsia"/>
            <w:b/>
            <w:sz w:val="30"/>
            <w:szCs w:val="30"/>
          </w:rPr>
          <w:t>第六章  附  则</w:t>
        </w:r>
      </w:hyperlink>
      <w:bookmarkEnd w:id="0"/>
    </w:p>
    <w:p w:rsidR="00EF006C" w:rsidRDefault="00EF006C" w:rsidP="00EF006C">
      <w:pPr>
        <w:spacing w:line="560" w:lineRule="exact"/>
        <w:outlineLvl w:val="0"/>
        <w:rPr>
          <w:rFonts w:ascii="方正小标宋_GBK" w:eastAsia="方正小标宋_GBK" w:hAnsi="华文中宋"/>
          <w:sz w:val="40"/>
          <w:szCs w:val="40"/>
        </w:rPr>
      </w:pPr>
    </w:p>
    <w:p w:rsidR="00EF006C" w:rsidRPr="00F476FB" w:rsidRDefault="00EF006C" w:rsidP="00EF006C">
      <w:pPr>
        <w:spacing w:line="360" w:lineRule="auto"/>
        <w:jc w:val="center"/>
        <w:outlineLvl w:val="0"/>
        <w:rPr>
          <w:rFonts w:ascii="黑体" w:eastAsia="黑体" w:hAnsi="黑体"/>
          <w:bCs/>
          <w:color w:val="000000"/>
          <w:sz w:val="30"/>
          <w:szCs w:val="30"/>
        </w:rPr>
      </w:pPr>
      <w:r>
        <w:rPr>
          <w:rFonts w:ascii="黑体" w:eastAsia="黑体" w:hAnsi="黑体" w:hint="eastAsia"/>
          <w:bCs/>
          <w:color w:val="000000"/>
          <w:sz w:val="32"/>
          <w:szCs w:val="32"/>
        </w:rPr>
        <w:br w:type="page"/>
      </w:r>
    </w:p>
    <w:p w:rsidR="00EF006C" w:rsidRDefault="00EF006C" w:rsidP="00EF006C">
      <w:pPr>
        <w:spacing w:line="360" w:lineRule="auto"/>
        <w:jc w:val="center"/>
        <w:outlineLvl w:val="0"/>
        <w:rPr>
          <w:rFonts w:ascii="黑体" w:eastAsia="黑体" w:hAnsi="黑体"/>
          <w:bCs/>
          <w:color w:val="000000"/>
          <w:sz w:val="30"/>
          <w:szCs w:val="30"/>
        </w:rPr>
      </w:pPr>
      <w:r w:rsidRPr="00F476FB">
        <w:rPr>
          <w:rFonts w:ascii="黑体" w:eastAsia="黑体" w:hAnsi="黑体" w:hint="eastAsia"/>
          <w:bCs/>
          <w:color w:val="000000"/>
          <w:sz w:val="30"/>
          <w:szCs w:val="30"/>
        </w:rPr>
        <w:lastRenderedPageBreak/>
        <w:t>第一章  总  则</w:t>
      </w:r>
    </w:p>
    <w:p w:rsidR="00EF006C" w:rsidRPr="00F476FB" w:rsidRDefault="00EF006C" w:rsidP="00EF006C">
      <w:pPr>
        <w:spacing w:line="360" w:lineRule="auto"/>
        <w:jc w:val="center"/>
        <w:outlineLvl w:val="0"/>
        <w:rPr>
          <w:rFonts w:ascii="黑体" w:eastAsia="黑体" w:hAnsi="黑体"/>
          <w:bCs/>
          <w:color w:val="000000"/>
          <w:sz w:val="30"/>
          <w:szCs w:val="30"/>
        </w:rPr>
      </w:pPr>
    </w:p>
    <w:p w:rsidR="00EF006C" w:rsidRPr="00F476FB" w:rsidRDefault="00EF006C" w:rsidP="00EF006C">
      <w:pPr>
        <w:shd w:val="clear" w:color="auto" w:fill="FFFFFF"/>
        <w:spacing w:line="360" w:lineRule="auto"/>
        <w:ind w:firstLine="601"/>
        <w:rPr>
          <w:rFonts w:ascii="仿宋_GB2312" w:eastAsia="仿宋_GB2312" w:hAnsi="宋体"/>
          <w:color w:val="000000"/>
          <w:sz w:val="30"/>
          <w:szCs w:val="30"/>
        </w:rPr>
      </w:pPr>
      <w:r w:rsidRPr="00F476FB">
        <w:rPr>
          <w:rFonts w:ascii="黑体" w:eastAsia="黑体" w:hAnsi="黑体" w:hint="eastAsia"/>
          <w:bCs/>
          <w:color w:val="000000"/>
          <w:sz w:val="30"/>
          <w:szCs w:val="30"/>
        </w:rPr>
        <w:t xml:space="preserve">第一条  </w:t>
      </w:r>
      <w:r w:rsidRPr="00F476FB">
        <w:rPr>
          <w:rFonts w:ascii="仿宋_GB2312" w:eastAsia="仿宋_GB2312" w:hAnsi="宋体" w:hint="eastAsia"/>
          <w:color w:val="000000"/>
          <w:sz w:val="30"/>
          <w:szCs w:val="30"/>
        </w:rPr>
        <w:t>为了规范研究堆</w:t>
      </w:r>
      <w:r w:rsidRPr="00F476FB">
        <w:rPr>
          <w:rFonts w:ascii="仿宋_GB2312" w:eastAsia="仿宋_GB2312" w:hAnsi="宋体" w:cs="Times New Roman" w:hint="eastAsia"/>
          <w:color w:val="000000"/>
          <w:sz w:val="30"/>
          <w:szCs w:val="30"/>
        </w:rPr>
        <w:t>营运单位核安全报告制度</w:t>
      </w:r>
      <w:r w:rsidRPr="00F476FB">
        <w:rPr>
          <w:rFonts w:ascii="仿宋_GB2312" w:eastAsia="仿宋_GB2312" w:hAnsi="宋体" w:hint="eastAsia"/>
          <w:color w:val="000000"/>
          <w:sz w:val="30"/>
          <w:szCs w:val="30"/>
        </w:rPr>
        <w:t>，根据《中华人民共和国核安全法》《中华人民共和国民用核设施安全监督管理条例》等法律法规，制定本规定。</w:t>
      </w:r>
    </w:p>
    <w:p w:rsidR="00EF006C" w:rsidRPr="00F476FB" w:rsidRDefault="00EF006C" w:rsidP="00EF006C">
      <w:pPr>
        <w:shd w:val="clear" w:color="auto" w:fill="FFFFFF"/>
        <w:spacing w:line="360" w:lineRule="auto"/>
        <w:ind w:firstLine="601"/>
        <w:rPr>
          <w:rFonts w:ascii="仿宋_GB2312" w:eastAsia="仿宋_GB2312" w:hAnsi="宋体"/>
          <w:color w:val="000000"/>
          <w:sz w:val="30"/>
          <w:szCs w:val="30"/>
        </w:rPr>
      </w:pPr>
      <w:r w:rsidRPr="00F476FB">
        <w:rPr>
          <w:rFonts w:ascii="黑体" w:eastAsia="黑体" w:hAnsi="黑体" w:hint="eastAsia"/>
          <w:bCs/>
          <w:color w:val="000000"/>
          <w:sz w:val="30"/>
          <w:szCs w:val="30"/>
        </w:rPr>
        <w:t xml:space="preserve">第二条  </w:t>
      </w:r>
      <w:r w:rsidRPr="00F476FB">
        <w:rPr>
          <w:rFonts w:ascii="仿宋_GB2312" w:eastAsia="仿宋_GB2312" w:hAnsi="宋体" w:hint="eastAsia"/>
          <w:color w:val="000000"/>
          <w:sz w:val="30"/>
          <w:szCs w:val="30"/>
        </w:rPr>
        <w:t>研究堆营运单位对核安全负有全面责任,应当执行核安全报告制度，在建造阶段和运行阶段向国家核安全局或者研究堆所在地区核与辐射安全监督站提交定期报告、重要活动报告、事件报告和核事故应急报告。报告的格式与具体要求，</w:t>
      </w:r>
      <w:r w:rsidRPr="00F476FB">
        <w:rPr>
          <w:rFonts w:ascii="仿宋_GB2312" w:eastAsia="仿宋_GB2312" w:hAnsi="仿宋_GB2312" w:cs="仿宋_GB2312" w:hint="eastAsia"/>
          <w:color w:val="000000"/>
          <w:sz w:val="30"/>
          <w:szCs w:val="30"/>
        </w:rPr>
        <w:t>由国家核安全局另行规定。</w:t>
      </w:r>
    </w:p>
    <w:p w:rsidR="00EF006C" w:rsidRPr="00F476FB" w:rsidRDefault="00EF006C" w:rsidP="00EF006C">
      <w:pPr>
        <w:shd w:val="clear" w:color="auto" w:fill="FFFFFF"/>
        <w:spacing w:line="360" w:lineRule="auto"/>
        <w:ind w:firstLine="601"/>
        <w:rPr>
          <w:rFonts w:ascii="仿宋_GB2312" w:eastAsia="仿宋_GB2312" w:hAnsi="仿宋_GB2312" w:cs="仿宋_GB2312"/>
          <w:color w:val="000000"/>
          <w:sz w:val="30"/>
          <w:szCs w:val="30"/>
          <w:lang w:bidi="ar"/>
        </w:rPr>
      </w:pPr>
      <w:r w:rsidRPr="00F476FB">
        <w:rPr>
          <w:rFonts w:ascii="仿宋_GB2312" w:eastAsia="仿宋_GB2312" w:hAnsi="宋体" w:hint="eastAsia"/>
          <w:color w:val="000000"/>
          <w:sz w:val="30"/>
          <w:szCs w:val="30"/>
        </w:rPr>
        <w:t>本规定所称建造阶段为从取得建造许可证之日起，至</w:t>
      </w:r>
      <w:r w:rsidRPr="00F476FB">
        <w:rPr>
          <w:rFonts w:ascii="仿宋_GB2312" w:eastAsia="仿宋_GB2312" w:hAnsi="宋体"/>
          <w:color w:val="000000"/>
          <w:sz w:val="30"/>
          <w:szCs w:val="30"/>
        </w:rPr>
        <w:t>取得运行许可证</w:t>
      </w:r>
      <w:r w:rsidRPr="00F476FB">
        <w:rPr>
          <w:rFonts w:ascii="仿宋_GB2312" w:eastAsia="仿宋_GB2312" w:hAnsi="宋体" w:hint="eastAsia"/>
          <w:color w:val="000000"/>
          <w:sz w:val="30"/>
          <w:szCs w:val="30"/>
        </w:rPr>
        <w:t>之日止；运行阶段为</w:t>
      </w:r>
      <w:r w:rsidRPr="00F476FB">
        <w:rPr>
          <w:rFonts w:ascii="仿宋_GB2312" w:eastAsia="仿宋_GB2312" w:hAnsi="仿宋_GB2312" w:cs="仿宋_GB2312" w:hint="eastAsia"/>
          <w:color w:val="000000"/>
          <w:sz w:val="30"/>
          <w:szCs w:val="30"/>
        </w:rPr>
        <w:t>从取得运行许可证之日起，</w:t>
      </w:r>
      <w:r w:rsidRPr="00F476FB">
        <w:rPr>
          <w:rFonts w:ascii="仿宋_GB2312" w:eastAsia="仿宋_GB2312" w:hAnsi="仿宋_GB2312" w:cs="仿宋_GB2312" w:hint="eastAsia"/>
          <w:color w:val="000000"/>
          <w:sz w:val="30"/>
          <w:szCs w:val="30"/>
          <w:lang w:bidi="ar"/>
        </w:rPr>
        <w:t>至</w:t>
      </w:r>
      <w:r w:rsidRPr="00F476FB">
        <w:rPr>
          <w:rFonts w:ascii="仿宋_GB2312" w:eastAsia="仿宋_GB2312" w:hAnsi="宋体" w:hint="eastAsia"/>
          <w:color w:val="000000"/>
          <w:sz w:val="30"/>
          <w:szCs w:val="30"/>
        </w:rPr>
        <w:t>研究堆终止运行进入停闭管理</w:t>
      </w:r>
      <w:r w:rsidRPr="00F476FB">
        <w:rPr>
          <w:rFonts w:ascii="仿宋_GB2312" w:eastAsia="仿宋_GB2312" w:hAnsi="仿宋_GB2312" w:cs="仿宋_GB2312" w:hint="eastAsia"/>
          <w:color w:val="000000"/>
          <w:sz w:val="30"/>
          <w:szCs w:val="30"/>
          <w:lang w:bidi="ar"/>
        </w:rPr>
        <w:t>之日止。</w:t>
      </w:r>
    </w:p>
    <w:p w:rsidR="00EF006C" w:rsidRPr="00F476FB" w:rsidRDefault="00EF006C" w:rsidP="00EF006C">
      <w:pPr>
        <w:shd w:val="clear" w:color="auto" w:fill="FFFFFF"/>
        <w:spacing w:line="360" w:lineRule="auto"/>
        <w:ind w:firstLine="601"/>
        <w:rPr>
          <w:rFonts w:ascii="仿宋_GB2312" w:eastAsia="仿宋_GB2312" w:hAnsi="仿宋_GB2312" w:cs="仿宋_GB2312"/>
          <w:color w:val="000000"/>
          <w:sz w:val="30"/>
          <w:szCs w:val="30"/>
        </w:rPr>
      </w:pPr>
      <w:r w:rsidRPr="00F476FB">
        <w:rPr>
          <w:rFonts w:ascii="仿宋_GB2312" w:eastAsia="仿宋_GB2312" w:hAnsi="宋体" w:hint="eastAsia"/>
          <w:color w:val="000000"/>
          <w:sz w:val="30"/>
          <w:szCs w:val="30"/>
        </w:rPr>
        <w:t>终止运行进入停闭管理、尚未取得退役批准书的研究堆，其核安全报告适用研究堆停闭管理的相关规定。</w:t>
      </w:r>
    </w:p>
    <w:p w:rsidR="00EF006C" w:rsidRPr="00F476FB" w:rsidRDefault="00EF006C" w:rsidP="00EF006C">
      <w:pPr>
        <w:spacing w:line="360" w:lineRule="auto"/>
        <w:jc w:val="center"/>
        <w:outlineLvl w:val="0"/>
        <w:rPr>
          <w:rFonts w:ascii="黑体" w:eastAsia="黑体" w:hAnsi="黑体"/>
          <w:bCs/>
          <w:color w:val="000000"/>
          <w:sz w:val="30"/>
          <w:szCs w:val="30"/>
        </w:rPr>
      </w:pPr>
    </w:p>
    <w:p w:rsidR="00EF006C" w:rsidRDefault="00EF006C" w:rsidP="00EF006C">
      <w:pPr>
        <w:spacing w:line="360" w:lineRule="auto"/>
        <w:jc w:val="center"/>
        <w:outlineLvl w:val="0"/>
        <w:rPr>
          <w:rFonts w:ascii="黑体" w:eastAsia="黑体" w:hAnsi="黑体"/>
          <w:bCs/>
          <w:color w:val="000000"/>
          <w:sz w:val="30"/>
          <w:szCs w:val="30"/>
        </w:rPr>
      </w:pPr>
      <w:r w:rsidRPr="00F476FB">
        <w:rPr>
          <w:rFonts w:ascii="黑体" w:eastAsia="黑体" w:hAnsi="黑体" w:hint="eastAsia"/>
          <w:bCs/>
          <w:color w:val="000000"/>
          <w:sz w:val="30"/>
          <w:szCs w:val="30"/>
        </w:rPr>
        <w:t>第二章  定期报告</w:t>
      </w:r>
    </w:p>
    <w:p w:rsidR="00EF006C" w:rsidRPr="00F476FB" w:rsidRDefault="00EF006C" w:rsidP="00EF006C">
      <w:pPr>
        <w:spacing w:line="360" w:lineRule="auto"/>
        <w:jc w:val="center"/>
        <w:outlineLvl w:val="0"/>
        <w:rPr>
          <w:rFonts w:ascii="黑体" w:eastAsia="黑体" w:hAnsi="黑体"/>
          <w:bCs/>
          <w:color w:val="000000"/>
          <w:sz w:val="30"/>
          <w:szCs w:val="30"/>
        </w:rPr>
      </w:pPr>
    </w:p>
    <w:p w:rsidR="00EF006C" w:rsidRPr="00F476FB" w:rsidRDefault="00EF006C" w:rsidP="00EF006C">
      <w:pPr>
        <w:shd w:val="clear" w:color="auto" w:fill="FFFFFF"/>
        <w:spacing w:line="360" w:lineRule="auto"/>
        <w:ind w:firstLine="601"/>
        <w:rPr>
          <w:sz w:val="30"/>
          <w:szCs w:val="30"/>
        </w:rPr>
      </w:pPr>
      <w:r w:rsidRPr="00F476FB">
        <w:rPr>
          <w:rFonts w:ascii="黑体" w:eastAsia="黑体" w:hAnsi="黑体" w:hint="eastAsia"/>
          <w:bCs/>
          <w:color w:val="000000"/>
          <w:sz w:val="30"/>
          <w:szCs w:val="30"/>
        </w:rPr>
        <w:t xml:space="preserve">第三条  </w:t>
      </w:r>
      <w:r w:rsidRPr="00F476FB">
        <w:rPr>
          <w:rFonts w:ascii="仿宋_GB2312" w:eastAsia="仿宋_GB2312" w:hAnsi="宋体" w:hint="eastAsia"/>
          <w:color w:val="000000"/>
          <w:sz w:val="30"/>
          <w:szCs w:val="30"/>
        </w:rPr>
        <w:t>研究堆营运单位定期报告包括建造阶段月度报告、年</w:t>
      </w:r>
      <w:r w:rsidRPr="00F476FB">
        <w:rPr>
          <w:rFonts w:ascii="仿宋_GB2312" w:eastAsia="仿宋_GB2312" w:hAnsi="宋体" w:hint="eastAsia"/>
          <w:color w:val="000000"/>
          <w:sz w:val="30"/>
          <w:szCs w:val="30"/>
        </w:rPr>
        <w:lastRenderedPageBreak/>
        <w:t>度报告和运行阶段月度报告、年度报告。</w:t>
      </w:r>
    </w:p>
    <w:p w:rsidR="00EF006C" w:rsidRPr="00F476FB" w:rsidRDefault="00EF006C" w:rsidP="00EF006C">
      <w:pPr>
        <w:shd w:val="clear" w:color="auto" w:fill="FFFFFF"/>
        <w:spacing w:line="360" w:lineRule="auto"/>
        <w:ind w:firstLine="601"/>
        <w:rPr>
          <w:rFonts w:ascii="仿宋_GB2312" w:eastAsia="仿宋_GB2312" w:hAnsi="宋体"/>
          <w:color w:val="000000"/>
          <w:sz w:val="30"/>
          <w:szCs w:val="30"/>
        </w:rPr>
      </w:pPr>
      <w:r w:rsidRPr="00F476FB">
        <w:rPr>
          <w:rFonts w:ascii="仿宋_GB2312" w:eastAsia="仿宋_GB2312" w:hAnsi="宋体" w:hint="eastAsia"/>
          <w:color w:val="000000"/>
          <w:sz w:val="30"/>
          <w:szCs w:val="30"/>
        </w:rPr>
        <w:t>研究堆营运单位应当在每个月第十个工作日前，向研究堆所在地区核与辐射安全监督站提交上个月的月度报告</w:t>
      </w:r>
      <w:r w:rsidRPr="00F476FB">
        <w:rPr>
          <w:rFonts w:ascii="仿宋_GB2312" w:eastAsia="仿宋_GB2312" w:hAnsi="宋体"/>
          <w:color w:val="000000"/>
          <w:sz w:val="30"/>
          <w:szCs w:val="30"/>
          <w:lang w:val="en"/>
        </w:rPr>
        <w:t>;</w:t>
      </w:r>
      <w:r w:rsidRPr="00F476FB">
        <w:rPr>
          <w:rFonts w:ascii="仿宋_GB2312" w:eastAsia="仿宋_GB2312" w:hAnsi="宋体" w:hint="eastAsia"/>
          <w:color w:val="000000"/>
          <w:sz w:val="30"/>
          <w:szCs w:val="30"/>
        </w:rPr>
        <w:t>在每年4月1日前，向国家核安全局提交上一年度的年度报告。</w:t>
      </w:r>
    </w:p>
    <w:p w:rsidR="00EF006C" w:rsidRPr="00F476FB" w:rsidRDefault="00EF006C" w:rsidP="00EF006C">
      <w:pPr>
        <w:shd w:val="clear" w:color="auto" w:fill="FFFFFF"/>
        <w:spacing w:line="360" w:lineRule="auto"/>
        <w:ind w:firstLine="601"/>
        <w:rPr>
          <w:rStyle w:val="pp11"/>
          <w:rFonts w:ascii="仿宋_GB2312" w:eastAsia="仿宋_GB2312" w:hAnsi="仿宋_GB2312" w:cs="仿宋_GB2312"/>
          <w:color w:val="000000"/>
          <w:sz w:val="30"/>
          <w:szCs w:val="30"/>
        </w:rPr>
      </w:pPr>
      <w:r w:rsidRPr="00F476FB">
        <w:rPr>
          <w:rStyle w:val="pp11"/>
          <w:rFonts w:ascii="仿宋_GB2312" w:eastAsia="仿宋_GB2312" w:hAnsi="仿宋_GB2312" w:cs="仿宋_GB2312" w:hint="eastAsia"/>
          <w:color w:val="000000"/>
          <w:sz w:val="30"/>
          <w:szCs w:val="30"/>
        </w:rPr>
        <w:t>营运单位建造或者运行多个研究堆的，可以将多个研究堆的有关信息合并成一份报告。</w:t>
      </w:r>
    </w:p>
    <w:p w:rsidR="00EF006C" w:rsidRPr="00F476FB" w:rsidRDefault="00EF006C" w:rsidP="00EF006C">
      <w:pPr>
        <w:shd w:val="clear" w:color="auto" w:fill="FFFFFF"/>
        <w:spacing w:line="360" w:lineRule="auto"/>
        <w:ind w:firstLine="600"/>
        <w:rPr>
          <w:rStyle w:val="pp11"/>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t>Ⅲ类研究堆、处于长期停堆管理期间</w:t>
      </w:r>
      <w:r w:rsidRPr="00F476FB">
        <w:rPr>
          <w:rStyle w:val="pp11"/>
          <w:rFonts w:ascii="仿宋_GB2312" w:eastAsia="仿宋_GB2312" w:hAnsi="仿宋_GB2312" w:cs="仿宋_GB2312" w:hint="eastAsia"/>
          <w:color w:val="000000"/>
          <w:sz w:val="30"/>
          <w:szCs w:val="30"/>
        </w:rPr>
        <w:t>的研究堆，可以不执行运行阶段月度报告，仅执行运行阶段</w:t>
      </w:r>
      <w:r w:rsidRPr="00F476FB">
        <w:rPr>
          <w:rFonts w:ascii="仿宋_GB2312" w:eastAsia="仿宋_GB2312" w:hAnsi="仿宋_GB2312" w:cs="仿宋_GB2312" w:hint="eastAsia"/>
          <w:color w:val="000000"/>
          <w:sz w:val="30"/>
          <w:szCs w:val="30"/>
          <w:lang w:bidi="ar"/>
        </w:rPr>
        <w:t>年度报告</w:t>
      </w:r>
      <w:r w:rsidRPr="00F476FB">
        <w:rPr>
          <w:rStyle w:val="pp11"/>
          <w:rFonts w:ascii="仿宋_GB2312" w:eastAsia="仿宋_GB2312" w:hAnsi="仿宋_GB2312" w:cs="仿宋_GB2312" w:hint="eastAsia"/>
          <w:color w:val="000000"/>
          <w:sz w:val="30"/>
          <w:szCs w:val="30"/>
        </w:rPr>
        <w:t>。</w:t>
      </w:r>
    </w:p>
    <w:p w:rsidR="00EF006C" w:rsidRPr="00F476FB" w:rsidRDefault="00EF006C" w:rsidP="00EF006C">
      <w:pPr>
        <w:shd w:val="clear" w:color="auto" w:fill="FFFFFF"/>
        <w:spacing w:line="360" w:lineRule="auto"/>
        <w:ind w:firstLine="602"/>
        <w:rPr>
          <w:rFonts w:ascii="仿宋_GB2312" w:eastAsia="仿宋_GB2312" w:hAnsi="宋体"/>
          <w:color w:val="000000"/>
          <w:sz w:val="30"/>
          <w:szCs w:val="30"/>
        </w:rPr>
      </w:pPr>
      <w:r w:rsidRPr="00F476FB">
        <w:rPr>
          <w:rFonts w:ascii="黑体" w:eastAsia="黑体" w:hAnsi="黑体" w:hint="eastAsia"/>
          <w:bCs/>
          <w:color w:val="000000"/>
          <w:sz w:val="30"/>
          <w:szCs w:val="30"/>
        </w:rPr>
        <w:t xml:space="preserve">第四条  </w:t>
      </w:r>
      <w:r w:rsidRPr="00F476FB">
        <w:rPr>
          <w:rFonts w:ascii="仿宋_GB2312" w:eastAsia="仿宋_GB2312" w:hAnsi="宋体" w:hint="eastAsia"/>
          <w:color w:val="000000"/>
          <w:sz w:val="30"/>
          <w:szCs w:val="30"/>
        </w:rPr>
        <w:t>建造阶段月度报告包括下列内容：</w:t>
      </w:r>
    </w:p>
    <w:p w:rsidR="00EF006C" w:rsidRPr="00F476FB" w:rsidRDefault="00EF006C" w:rsidP="00EF006C">
      <w:pPr>
        <w:shd w:val="clear" w:color="auto" w:fill="FFFFFF"/>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（一）上个月建造情况总结和下个月建造计划安排；</w:t>
      </w:r>
    </w:p>
    <w:p w:rsidR="00EF006C" w:rsidRPr="00F476FB" w:rsidRDefault="00EF006C" w:rsidP="00EF006C">
      <w:pPr>
        <w:shd w:val="clear" w:color="auto" w:fill="FFFFFF"/>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（二）上个月发生的与安全重要构筑物、系统和设备有关的重要事件综述；</w:t>
      </w:r>
    </w:p>
    <w:p w:rsidR="00EF006C" w:rsidRPr="00F476FB" w:rsidRDefault="00EF006C" w:rsidP="00EF006C">
      <w:pPr>
        <w:shd w:val="clear" w:color="auto" w:fill="FFFFFF"/>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（三）安全重要构筑物、系统和设备建造中存在的问题、纠正措施和经验反馈；</w:t>
      </w:r>
    </w:p>
    <w:p w:rsidR="00EF006C" w:rsidRPr="00F476FB" w:rsidRDefault="00EF006C" w:rsidP="00EF006C">
      <w:pPr>
        <w:shd w:val="clear" w:color="auto" w:fill="FFFFFF"/>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（四）核安全监管部门所提核安全监管要求落实情况;</w:t>
      </w:r>
    </w:p>
    <w:p w:rsidR="00EF006C" w:rsidRPr="00F476FB" w:rsidRDefault="00EF006C" w:rsidP="00EF006C">
      <w:pPr>
        <w:shd w:val="clear" w:color="auto" w:fill="FFFFFF"/>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（五）下个月计划开展的核安全有关重要活动；</w:t>
      </w:r>
    </w:p>
    <w:p w:rsidR="00EF006C" w:rsidRPr="00F476FB" w:rsidRDefault="00EF006C" w:rsidP="00EF006C">
      <w:pPr>
        <w:shd w:val="clear" w:color="auto" w:fill="FFFFFF"/>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（六）其他应当报告的事项或者活动。</w:t>
      </w:r>
    </w:p>
    <w:p w:rsidR="00EF006C" w:rsidRPr="00F476FB" w:rsidRDefault="00EF006C" w:rsidP="00EF006C">
      <w:pPr>
        <w:shd w:val="clear" w:color="auto" w:fill="FFFFFF"/>
        <w:spacing w:line="360" w:lineRule="auto"/>
        <w:ind w:firstLine="602"/>
        <w:rPr>
          <w:rFonts w:ascii="仿宋_GB2312" w:eastAsia="仿宋_GB2312" w:hAnsi="宋体"/>
          <w:color w:val="000000"/>
          <w:sz w:val="30"/>
          <w:szCs w:val="30"/>
        </w:rPr>
      </w:pPr>
      <w:r w:rsidRPr="00F476FB">
        <w:rPr>
          <w:rFonts w:ascii="黑体" w:eastAsia="黑体" w:hAnsi="黑体" w:hint="eastAsia"/>
          <w:bCs/>
          <w:color w:val="000000"/>
          <w:sz w:val="30"/>
          <w:szCs w:val="30"/>
        </w:rPr>
        <w:t xml:space="preserve">第五条  </w:t>
      </w:r>
      <w:r w:rsidRPr="00F476FB">
        <w:rPr>
          <w:rFonts w:ascii="仿宋_GB2312" w:eastAsia="仿宋_GB2312" w:hAnsi="宋体" w:hint="eastAsia"/>
          <w:color w:val="000000"/>
          <w:sz w:val="30"/>
          <w:szCs w:val="30"/>
        </w:rPr>
        <w:t>运行阶段月度报告包括下列内容：</w:t>
      </w:r>
    </w:p>
    <w:p w:rsidR="00EF006C" w:rsidRPr="00F476FB" w:rsidRDefault="00EF006C" w:rsidP="00EF006C">
      <w:pPr>
        <w:shd w:val="clear" w:color="auto" w:fill="FFFFFF"/>
        <w:spacing w:line="360" w:lineRule="auto"/>
        <w:ind w:firstLine="600"/>
        <w:rPr>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t>（一）研究堆运行、应用</w:t>
      </w:r>
      <w:r w:rsidRPr="00F476FB">
        <w:rPr>
          <w:rStyle w:val="pp11"/>
          <w:rFonts w:ascii="仿宋_GB2312" w:eastAsia="仿宋_GB2312" w:hAnsi="仿宋_GB2312" w:cs="仿宋_GB2312" w:hint="eastAsia"/>
          <w:color w:val="000000"/>
          <w:sz w:val="30"/>
          <w:szCs w:val="30"/>
        </w:rPr>
        <w:t>情况</w:t>
      </w:r>
      <w:r w:rsidRPr="00F476FB">
        <w:rPr>
          <w:rFonts w:ascii="仿宋_GB2312" w:eastAsia="仿宋_GB2312" w:hAnsi="仿宋_GB2312" w:cs="仿宋_GB2312" w:hint="eastAsia"/>
          <w:color w:val="000000"/>
          <w:sz w:val="30"/>
          <w:szCs w:val="30"/>
        </w:rPr>
        <w:t>；</w:t>
      </w:r>
    </w:p>
    <w:p w:rsidR="00EF006C" w:rsidRPr="00F476FB" w:rsidRDefault="00EF006C" w:rsidP="00EF006C">
      <w:pPr>
        <w:shd w:val="clear" w:color="auto" w:fill="FFFFFF"/>
        <w:spacing w:line="360" w:lineRule="auto"/>
        <w:ind w:firstLine="600"/>
        <w:rPr>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lastRenderedPageBreak/>
        <w:t>（二）</w:t>
      </w:r>
      <w:r w:rsidRPr="00F476FB">
        <w:rPr>
          <w:rStyle w:val="pp11"/>
          <w:rFonts w:ascii="仿宋_GB2312" w:eastAsia="仿宋_GB2312" w:hAnsi="仿宋_GB2312" w:cs="仿宋_GB2312" w:hint="eastAsia"/>
          <w:color w:val="000000"/>
          <w:sz w:val="30"/>
          <w:szCs w:val="30"/>
        </w:rPr>
        <w:t>异常、故障和事件情况；</w:t>
      </w:r>
    </w:p>
    <w:p w:rsidR="00EF006C" w:rsidRPr="00F476FB" w:rsidRDefault="00EF006C" w:rsidP="00EF006C">
      <w:pPr>
        <w:shd w:val="clear" w:color="auto" w:fill="FFFFFF"/>
        <w:spacing w:line="360" w:lineRule="auto"/>
        <w:ind w:firstLine="600"/>
        <w:rPr>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t>（三）维修、检查和修改情况；</w:t>
      </w:r>
    </w:p>
    <w:p w:rsidR="00EF006C" w:rsidRPr="00F476FB" w:rsidRDefault="00EF006C" w:rsidP="00EF006C">
      <w:pPr>
        <w:shd w:val="clear" w:color="auto" w:fill="FFFFFF"/>
        <w:spacing w:line="360" w:lineRule="auto"/>
        <w:ind w:firstLine="600"/>
        <w:rPr>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t>（四）</w:t>
      </w:r>
      <w:r w:rsidRPr="00F476FB">
        <w:rPr>
          <w:rFonts w:ascii="仿宋_GB2312" w:eastAsia="仿宋_GB2312" w:hAnsi="仿宋_GB2312" w:cs="仿宋_GB2312" w:hint="eastAsia"/>
          <w:color w:val="000000"/>
          <w:sz w:val="30"/>
          <w:szCs w:val="30"/>
          <w:lang w:bidi="ar"/>
        </w:rPr>
        <w:t>堆芯变更、燃料操作、固体放射性废物产生、处理和贮存、</w:t>
      </w:r>
      <w:r w:rsidRPr="00F476FB">
        <w:rPr>
          <w:rFonts w:ascii="仿宋_GB2312" w:eastAsia="仿宋_GB2312" w:hAnsi="仿宋_GB2312" w:cs="仿宋_GB2312" w:hint="eastAsia"/>
          <w:color w:val="000000"/>
          <w:sz w:val="30"/>
          <w:szCs w:val="30"/>
        </w:rPr>
        <w:t>流出物排放</w:t>
      </w:r>
      <w:r w:rsidRPr="00F476FB">
        <w:rPr>
          <w:rStyle w:val="pp11"/>
          <w:rFonts w:ascii="仿宋_GB2312" w:eastAsia="仿宋_GB2312" w:hAnsi="仿宋_GB2312" w:cs="仿宋_GB2312" w:hint="eastAsia"/>
          <w:color w:val="000000"/>
          <w:sz w:val="30"/>
          <w:szCs w:val="30"/>
        </w:rPr>
        <w:t>等事项或者活动情况</w:t>
      </w:r>
      <w:r w:rsidRPr="00F476FB">
        <w:rPr>
          <w:rFonts w:ascii="仿宋_GB2312" w:eastAsia="仿宋_GB2312" w:hAnsi="仿宋_GB2312" w:cs="仿宋_GB2312" w:hint="eastAsia"/>
          <w:color w:val="000000"/>
          <w:sz w:val="30"/>
          <w:szCs w:val="30"/>
        </w:rPr>
        <w:t>；</w:t>
      </w:r>
    </w:p>
    <w:p w:rsidR="00EF006C" w:rsidRPr="00F476FB" w:rsidRDefault="00EF006C" w:rsidP="00EF006C">
      <w:pPr>
        <w:shd w:val="clear" w:color="auto" w:fill="FFFFFF"/>
        <w:spacing w:line="360" w:lineRule="auto"/>
        <w:ind w:firstLine="600"/>
        <w:rPr>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t>（五）</w:t>
      </w:r>
      <w:r w:rsidRPr="00F476FB">
        <w:rPr>
          <w:rStyle w:val="pp11"/>
          <w:rFonts w:ascii="仿宋_GB2312" w:eastAsia="仿宋_GB2312" w:hAnsi="仿宋_GB2312" w:cs="仿宋_GB2312" w:hint="eastAsia"/>
          <w:color w:val="000000"/>
          <w:sz w:val="30"/>
          <w:szCs w:val="30"/>
        </w:rPr>
        <w:t>人员培训及主要运行和安全管理岗位人员变化情况</w:t>
      </w:r>
      <w:r w:rsidRPr="00F476FB">
        <w:rPr>
          <w:rFonts w:ascii="仿宋_GB2312" w:eastAsia="仿宋_GB2312" w:hAnsi="仿宋_GB2312" w:cs="仿宋_GB2312" w:hint="eastAsia"/>
          <w:color w:val="000000"/>
          <w:sz w:val="30"/>
          <w:szCs w:val="30"/>
        </w:rPr>
        <w:t>；</w:t>
      </w:r>
    </w:p>
    <w:p w:rsidR="00EF006C" w:rsidRPr="00F476FB" w:rsidRDefault="00EF006C" w:rsidP="00EF006C">
      <w:pPr>
        <w:shd w:val="clear" w:color="auto" w:fill="FFFFFF"/>
        <w:spacing w:line="360" w:lineRule="auto"/>
        <w:ind w:firstLine="600"/>
        <w:rPr>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t>（六）核安全监管部门所提核安全监管要求落实情况;</w:t>
      </w:r>
    </w:p>
    <w:p w:rsidR="00EF006C" w:rsidRPr="00F476FB" w:rsidRDefault="00EF006C" w:rsidP="00EF006C">
      <w:pPr>
        <w:shd w:val="clear" w:color="auto" w:fill="FFFFFF"/>
        <w:spacing w:line="360" w:lineRule="auto"/>
        <w:ind w:firstLine="600"/>
        <w:rPr>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t>（七）下个月计划开展的核安全有关重要活动；</w:t>
      </w:r>
    </w:p>
    <w:p w:rsidR="00EF006C" w:rsidRPr="00F476FB" w:rsidRDefault="00EF006C" w:rsidP="00EF006C">
      <w:pPr>
        <w:shd w:val="clear" w:color="auto" w:fill="FFFFFF"/>
        <w:spacing w:line="360" w:lineRule="auto"/>
        <w:ind w:firstLine="600"/>
        <w:rPr>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t>（八）其他应当报告的事项或者活动。</w:t>
      </w:r>
    </w:p>
    <w:p w:rsidR="00EF006C" w:rsidRPr="00F476FB" w:rsidRDefault="00EF006C" w:rsidP="00EF006C">
      <w:pPr>
        <w:shd w:val="clear" w:color="auto" w:fill="FFFFFF"/>
        <w:spacing w:line="360" w:lineRule="auto"/>
        <w:ind w:firstLine="602"/>
        <w:rPr>
          <w:rFonts w:ascii="仿宋_GB2312" w:eastAsia="仿宋_GB2312" w:hAnsi="宋体"/>
          <w:color w:val="000000"/>
          <w:sz w:val="30"/>
          <w:szCs w:val="30"/>
        </w:rPr>
      </w:pPr>
      <w:r w:rsidRPr="00F476FB">
        <w:rPr>
          <w:rFonts w:ascii="黑体" w:eastAsia="黑体" w:hAnsi="黑体" w:hint="eastAsia"/>
          <w:bCs/>
          <w:color w:val="000000"/>
          <w:sz w:val="30"/>
          <w:szCs w:val="30"/>
        </w:rPr>
        <w:t xml:space="preserve">第六条 </w:t>
      </w:r>
      <w:r w:rsidRPr="00F476FB">
        <w:rPr>
          <w:rFonts w:ascii="仿宋_GB2312" w:eastAsia="仿宋_GB2312" w:hAnsi="宋体" w:hint="eastAsia"/>
          <w:b/>
          <w:bCs/>
          <w:color w:val="000000"/>
          <w:sz w:val="30"/>
          <w:szCs w:val="30"/>
        </w:rPr>
        <w:t xml:space="preserve"> </w:t>
      </w:r>
      <w:r w:rsidRPr="00F476FB">
        <w:rPr>
          <w:rFonts w:ascii="仿宋_GB2312" w:eastAsia="仿宋_GB2312" w:hAnsi="宋体" w:hint="eastAsia"/>
          <w:color w:val="000000"/>
          <w:sz w:val="30"/>
          <w:szCs w:val="30"/>
        </w:rPr>
        <w:t>建造阶段年度报告包括下列内容：</w:t>
      </w:r>
    </w:p>
    <w:p w:rsidR="00EF006C" w:rsidRPr="00F476FB" w:rsidRDefault="00EF006C" w:rsidP="00EF006C">
      <w:pPr>
        <w:shd w:val="clear" w:color="auto" w:fill="FFFFFF"/>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（一）安全重要构筑物、系统和设备建造进展和质量情况总结；</w:t>
      </w:r>
    </w:p>
    <w:p w:rsidR="00EF006C" w:rsidRPr="00F476FB" w:rsidRDefault="00EF006C" w:rsidP="00EF006C">
      <w:pPr>
        <w:shd w:val="clear" w:color="auto" w:fill="FFFFFF"/>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（二）报告年份内发生的与安全重要构筑物、系统和设备有关的重要事件综述；</w:t>
      </w:r>
    </w:p>
    <w:p w:rsidR="00EF006C" w:rsidRPr="00F476FB" w:rsidRDefault="00EF006C" w:rsidP="00EF006C">
      <w:pPr>
        <w:shd w:val="clear" w:color="auto" w:fill="FFFFFF"/>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（三）安全重要构筑物、系统和设备建造中存在的问题、纠正措施和经验反馈综述；</w:t>
      </w:r>
    </w:p>
    <w:p w:rsidR="00EF006C" w:rsidRPr="00F476FB" w:rsidRDefault="00EF006C" w:rsidP="00EF006C">
      <w:pPr>
        <w:shd w:val="clear" w:color="auto" w:fill="FFFFFF"/>
        <w:spacing w:line="360" w:lineRule="auto"/>
        <w:ind w:firstLine="600"/>
        <w:rPr>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t>（四）核安全监管部门所提核安全监管要求落实情况综述；</w:t>
      </w:r>
    </w:p>
    <w:p w:rsidR="00EF006C" w:rsidRPr="00F476FB" w:rsidRDefault="00EF006C" w:rsidP="00EF006C">
      <w:pPr>
        <w:shd w:val="clear" w:color="auto" w:fill="FFFFFF"/>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（五）其他应当报告的问题和参考资料清单。</w:t>
      </w:r>
    </w:p>
    <w:p w:rsidR="00EF006C" w:rsidRPr="00F476FB" w:rsidRDefault="00EF006C" w:rsidP="00EF006C">
      <w:pPr>
        <w:shd w:val="clear" w:color="auto" w:fill="FFFFFF"/>
        <w:spacing w:line="360" w:lineRule="auto"/>
        <w:ind w:firstLine="600"/>
        <w:rPr>
          <w:rStyle w:val="pp11"/>
          <w:rFonts w:ascii="仿宋_GB2312" w:eastAsia="仿宋_GB2312" w:hAnsi="仿宋_GB2312" w:cs="仿宋_GB2312"/>
          <w:color w:val="000000"/>
          <w:sz w:val="30"/>
          <w:szCs w:val="30"/>
        </w:rPr>
      </w:pPr>
      <w:r w:rsidRPr="00F476FB">
        <w:rPr>
          <w:rFonts w:ascii="黑体" w:eastAsia="黑体" w:hAnsi="黑体" w:hint="eastAsia"/>
          <w:bCs/>
          <w:color w:val="000000"/>
          <w:sz w:val="30"/>
          <w:szCs w:val="30"/>
        </w:rPr>
        <w:t xml:space="preserve">第七条  </w:t>
      </w:r>
      <w:r w:rsidRPr="00F476FB">
        <w:rPr>
          <w:rFonts w:ascii="仿宋_GB2312" w:eastAsia="仿宋_GB2312" w:hAnsi="宋体" w:hint="eastAsia"/>
          <w:color w:val="000000"/>
          <w:sz w:val="30"/>
          <w:szCs w:val="30"/>
        </w:rPr>
        <w:t>处于长期停堆管理期间的研究堆，</w:t>
      </w:r>
      <w:r w:rsidRPr="00F476FB">
        <w:rPr>
          <w:rFonts w:ascii="仿宋_GB2312" w:eastAsia="仿宋_GB2312" w:hAnsi="仿宋_GB2312" w:cs="仿宋_GB2312" w:hint="eastAsia"/>
          <w:color w:val="000000"/>
          <w:sz w:val="30"/>
          <w:szCs w:val="30"/>
        </w:rPr>
        <w:t>运行阶段</w:t>
      </w:r>
      <w:r w:rsidRPr="00F476FB">
        <w:rPr>
          <w:rStyle w:val="pp11"/>
          <w:rFonts w:ascii="仿宋_GB2312" w:eastAsia="仿宋_GB2312" w:hAnsi="仿宋_GB2312" w:cs="仿宋_GB2312" w:hint="eastAsia"/>
          <w:color w:val="000000"/>
          <w:sz w:val="30"/>
          <w:szCs w:val="30"/>
        </w:rPr>
        <w:t>年度报告包括下列内容：</w:t>
      </w:r>
    </w:p>
    <w:p w:rsidR="00EF006C" w:rsidRPr="00F476FB" w:rsidRDefault="00EF006C" w:rsidP="00EF006C">
      <w:pPr>
        <w:spacing w:line="360" w:lineRule="auto"/>
        <w:ind w:firstLineChars="200" w:firstLine="600"/>
        <w:rPr>
          <w:rStyle w:val="pp11"/>
          <w:rFonts w:ascii="仿宋_GB2312" w:eastAsia="仿宋_GB2312" w:hAnsi="仿宋_GB2312" w:cs="仿宋_GB2312"/>
          <w:color w:val="000000"/>
          <w:sz w:val="30"/>
          <w:szCs w:val="30"/>
        </w:rPr>
      </w:pPr>
      <w:r w:rsidRPr="00F476FB">
        <w:rPr>
          <w:rStyle w:val="pp11"/>
          <w:rFonts w:ascii="仿宋_GB2312" w:eastAsia="仿宋_GB2312" w:hAnsi="仿宋_GB2312" w:cs="仿宋_GB2312" w:hint="eastAsia"/>
          <w:color w:val="000000"/>
          <w:sz w:val="30"/>
          <w:szCs w:val="30"/>
        </w:rPr>
        <w:t>（一）安全重要构筑物、系统和设备的监测、试验、维护和巡</w:t>
      </w:r>
      <w:r w:rsidRPr="00F476FB">
        <w:rPr>
          <w:rStyle w:val="pp11"/>
          <w:rFonts w:ascii="仿宋_GB2312" w:eastAsia="仿宋_GB2312" w:hAnsi="仿宋_GB2312" w:cs="仿宋_GB2312" w:hint="eastAsia"/>
          <w:color w:val="000000"/>
          <w:sz w:val="30"/>
          <w:szCs w:val="30"/>
        </w:rPr>
        <w:lastRenderedPageBreak/>
        <w:t>视检查情况；</w:t>
      </w:r>
    </w:p>
    <w:p w:rsidR="00EF006C" w:rsidRPr="00F476FB" w:rsidRDefault="00EF006C" w:rsidP="00EF006C">
      <w:pPr>
        <w:spacing w:line="360" w:lineRule="auto"/>
        <w:ind w:firstLineChars="200" w:firstLine="600"/>
        <w:rPr>
          <w:rStyle w:val="pp11"/>
          <w:rFonts w:ascii="仿宋_GB2312" w:eastAsia="仿宋_GB2312" w:hAnsi="仿宋_GB2312" w:cs="仿宋_GB2312"/>
          <w:color w:val="000000"/>
          <w:sz w:val="30"/>
          <w:szCs w:val="30"/>
        </w:rPr>
      </w:pPr>
      <w:r w:rsidRPr="00F476FB">
        <w:rPr>
          <w:rStyle w:val="pp11"/>
          <w:rFonts w:ascii="仿宋_GB2312" w:eastAsia="仿宋_GB2312" w:hAnsi="仿宋_GB2312" w:cs="仿宋_GB2312" w:hint="eastAsia"/>
          <w:color w:val="000000"/>
          <w:sz w:val="30"/>
          <w:szCs w:val="30"/>
        </w:rPr>
        <w:t>（二）燃料管理和放射性废物贮存情况；</w:t>
      </w:r>
    </w:p>
    <w:p w:rsidR="00EF006C" w:rsidRPr="00F476FB" w:rsidRDefault="00EF006C" w:rsidP="00EF006C">
      <w:pPr>
        <w:spacing w:line="360" w:lineRule="auto"/>
        <w:ind w:firstLineChars="200" w:firstLine="600"/>
        <w:rPr>
          <w:rStyle w:val="pp11"/>
          <w:rFonts w:ascii="仿宋_GB2312" w:eastAsia="仿宋_GB2312" w:hAnsi="仿宋_GB2312" w:cs="仿宋_GB2312"/>
          <w:color w:val="000000"/>
          <w:sz w:val="30"/>
          <w:szCs w:val="30"/>
        </w:rPr>
      </w:pPr>
      <w:r w:rsidRPr="00F476FB">
        <w:rPr>
          <w:rStyle w:val="pp11"/>
          <w:rFonts w:ascii="仿宋_GB2312" w:eastAsia="仿宋_GB2312" w:hAnsi="仿宋_GB2312" w:cs="仿宋_GB2312" w:hint="eastAsia"/>
          <w:color w:val="000000"/>
          <w:sz w:val="30"/>
          <w:szCs w:val="30"/>
        </w:rPr>
        <w:t xml:space="preserve">（三）实物保护系统运行及人员值守情况；   </w:t>
      </w:r>
    </w:p>
    <w:p w:rsidR="00EF006C" w:rsidRPr="00F476FB" w:rsidRDefault="00EF006C" w:rsidP="00EF006C">
      <w:pPr>
        <w:shd w:val="clear" w:color="auto" w:fill="FFFFFF"/>
        <w:spacing w:line="360" w:lineRule="auto"/>
        <w:ind w:firstLine="602"/>
        <w:rPr>
          <w:rStyle w:val="pp11"/>
          <w:rFonts w:ascii="仿宋_GB2312" w:eastAsia="仿宋_GB2312" w:hAnsi="仿宋_GB2312" w:cs="仿宋_GB2312"/>
          <w:color w:val="000000"/>
          <w:sz w:val="30"/>
          <w:szCs w:val="30"/>
        </w:rPr>
      </w:pPr>
      <w:r w:rsidRPr="00F476FB">
        <w:rPr>
          <w:rStyle w:val="pp11"/>
          <w:rFonts w:ascii="仿宋_GB2312" w:eastAsia="仿宋_GB2312" w:hAnsi="仿宋_GB2312" w:cs="仿宋_GB2312" w:hint="eastAsia"/>
          <w:color w:val="000000"/>
          <w:sz w:val="30"/>
          <w:szCs w:val="30"/>
        </w:rPr>
        <w:t>（四）其他应当报告的事项和活动综述。</w:t>
      </w:r>
    </w:p>
    <w:p w:rsidR="00EF006C" w:rsidRPr="00F476FB" w:rsidRDefault="00EF006C" w:rsidP="00EF006C">
      <w:pPr>
        <w:shd w:val="clear" w:color="auto" w:fill="FFFFFF"/>
        <w:spacing w:line="360" w:lineRule="auto"/>
        <w:ind w:firstLine="602"/>
        <w:rPr>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t>前款规定以外的</w:t>
      </w:r>
      <w:r w:rsidRPr="00F476FB">
        <w:rPr>
          <w:rStyle w:val="pp11"/>
          <w:rFonts w:ascii="仿宋_GB2312" w:eastAsia="仿宋_GB2312" w:hAnsi="仿宋_GB2312" w:cs="仿宋_GB2312" w:hint="eastAsia"/>
          <w:color w:val="000000"/>
          <w:sz w:val="30"/>
          <w:szCs w:val="30"/>
        </w:rPr>
        <w:t>研究堆，</w:t>
      </w:r>
      <w:r w:rsidRPr="00F476FB">
        <w:rPr>
          <w:rFonts w:ascii="仿宋_GB2312" w:eastAsia="仿宋_GB2312" w:hAnsi="仿宋_GB2312" w:cs="仿宋_GB2312" w:hint="eastAsia"/>
          <w:color w:val="000000"/>
          <w:sz w:val="30"/>
          <w:szCs w:val="30"/>
        </w:rPr>
        <w:t>运行阶段年度报告包括下列内容：</w:t>
      </w:r>
    </w:p>
    <w:p w:rsidR="00EF006C" w:rsidRPr="00F476FB" w:rsidRDefault="00EF006C" w:rsidP="00EF006C">
      <w:pPr>
        <w:shd w:val="clear" w:color="auto" w:fill="FFFFFF"/>
        <w:spacing w:line="360" w:lineRule="auto"/>
        <w:ind w:firstLine="600"/>
        <w:rPr>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t>（一）研究堆运行、应用</w:t>
      </w:r>
      <w:r w:rsidRPr="00F476FB">
        <w:rPr>
          <w:rStyle w:val="pp11"/>
          <w:rFonts w:ascii="仿宋_GB2312" w:eastAsia="仿宋_GB2312" w:hAnsi="仿宋_GB2312" w:cs="仿宋_GB2312" w:hint="eastAsia"/>
          <w:color w:val="000000"/>
          <w:sz w:val="30"/>
          <w:szCs w:val="30"/>
        </w:rPr>
        <w:t>情况综述</w:t>
      </w:r>
      <w:r w:rsidRPr="00F476FB">
        <w:rPr>
          <w:rFonts w:ascii="仿宋_GB2312" w:eastAsia="仿宋_GB2312" w:hAnsi="仿宋_GB2312" w:cs="仿宋_GB2312" w:hint="eastAsia"/>
          <w:color w:val="000000"/>
          <w:sz w:val="30"/>
          <w:szCs w:val="30"/>
        </w:rPr>
        <w:t>；</w:t>
      </w:r>
    </w:p>
    <w:p w:rsidR="00EF006C" w:rsidRPr="00F476FB" w:rsidRDefault="00EF006C" w:rsidP="00EF006C">
      <w:pPr>
        <w:shd w:val="clear" w:color="auto" w:fill="FFFFFF"/>
        <w:spacing w:line="360" w:lineRule="auto"/>
        <w:ind w:firstLine="600"/>
        <w:rPr>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t>（二）</w:t>
      </w:r>
      <w:r w:rsidRPr="00F476FB">
        <w:rPr>
          <w:rStyle w:val="pp11"/>
          <w:rFonts w:ascii="仿宋_GB2312" w:eastAsia="仿宋_GB2312" w:hAnsi="仿宋_GB2312" w:cs="仿宋_GB2312" w:hint="eastAsia"/>
          <w:color w:val="000000"/>
          <w:sz w:val="30"/>
          <w:szCs w:val="30"/>
        </w:rPr>
        <w:t>非计划降功率运行和停堆情况、安全系统故障、运行事件与经验反馈情况综述</w:t>
      </w:r>
      <w:r w:rsidRPr="00F476FB">
        <w:rPr>
          <w:rFonts w:ascii="仿宋_GB2312" w:eastAsia="仿宋_GB2312" w:hAnsi="仿宋_GB2312" w:cs="仿宋_GB2312" w:hint="eastAsia"/>
          <w:color w:val="000000"/>
          <w:sz w:val="30"/>
          <w:szCs w:val="30"/>
        </w:rPr>
        <w:t>；</w:t>
      </w:r>
    </w:p>
    <w:p w:rsidR="00EF006C" w:rsidRPr="00F476FB" w:rsidRDefault="00EF006C" w:rsidP="00EF006C">
      <w:pPr>
        <w:shd w:val="clear" w:color="auto" w:fill="FFFFFF"/>
        <w:spacing w:line="360" w:lineRule="auto"/>
        <w:ind w:firstLine="600"/>
        <w:rPr>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t>（三）</w:t>
      </w:r>
      <w:r w:rsidRPr="00F476FB">
        <w:rPr>
          <w:rStyle w:val="pp11"/>
          <w:rFonts w:ascii="仿宋_GB2312" w:eastAsia="仿宋_GB2312" w:hAnsi="仿宋_GB2312" w:cs="仿宋_GB2312" w:hint="eastAsia"/>
          <w:color w:val="000000"/>
          <w:sz w:val="30"/>
          <w:szCs w:val="30"/>
        </w:rPr>
        <w:t>维修、检查和修改情况综述</w:t>
      </w:r>
      <w:r w:rsidRPr="00F476FB">
        <w:rPr>
          <w:rFonts w:ascii="仿宋_GB2312" w:eastAsia="仿宋_GB2312" w:hAnsi="仿宋_GB2312" w:cs="仿宋_GB2312" w:hint="eastAsia"/>
          <w:color w:val="000000"/>
          <w:sz w:val="30"/>
          <w:szCs w:val="30"/>
        </w:rPr>
        <w:t>；</w:t>
      </w:r>
    </w:p>
    <w:p w:rsidR="00EF006C" w:rsidRPr="00F476FB" w:rsidRDefault="00EF006C" w:rsidP="00EF006C">
      <w:pPr>
        <w:shd w:val="clear" w:color="auto" w:fill="FFFFFF"/>
        <w:spacing w:line="360" w:lineRule="auto"/>
        <w:ind w:firstLine="600"/>
        <w:rPr>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t>（四）</w:t>
      </w:r>
      <w:r w:rsidRPr="00F476FB">
        <w:rPr>
          <w:rFonts w:ascii="仿宋_GB2312" w:eastAsia="仿宋_GB2312" w:hAnsi="仿宋_GB2312" w:cs="仿宋_GB2312" w:hint="eastAsia"/>
          <w:color w:val="000000"/>
          <w:sz w:val="30"/>
          <w:szCs w:val="30"/>
          <w:lang w:bidi="ar"/>
        </w:rPr>
        <w:t>放射性废物管理</w:t>
      </w:r>
      <w:r w:rsidRPr="00F476FB">
        <w:rPr>
          <w:rFonts w:ascii="仿宋_GB2312" w:eastAsia="仿宋_GB2312" w:hAnsi="仿宋_GB2312" w:cs="仿宋_GB2312" w:hint="eastAsia"/>
          <w:color w:val="000000"/>
          <w:sz w:val="30"/>
          <w:szCs w:val="30"/>
        </w:rPr>
        <w:t>情况综述</w:t>
      </w:r>
      <w:r w:rsidRPr="00F476FB">
        <w:rPr>
          <w:rStyle w:val="pp11"/>
          <w:rFonts w:ascii="仿宋_GB2312" w:eastAsia="仿宋_GB2312" w:hAnsi="仿宋_GB2312" w:cs="仿宋_GB2312" w:hint="eastAsia"/>
          <w:color w:val="000000"/>
          <w:sz w:val="30"/>
          <w:szCs w:val="30"/>
        </w:rPr>
        <w:t>；</w:t>
      </w:r>
    </w:p>
    <w:p w:rsidR="00EF006C" w:rsidRPr="00F476FB" w:rsidRDefault="00EF006C" w:rsidP="00EF006C">
      <w:pPr>
        <w:shd w:val="clear" w:color="auto" w:fill="FFFFFF"/>
        <w:spacing w:line="360" w:lineRule="auto"/>
        <w:ind w:firstLine="600"/>
        <w:rPr>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t>（五）辐射防护和人员培训情况综述;</w:t>
      </w:r>
    </w:p>
    <w:p w:rsidR="00EF006C" w:rsidRPr="00F476FB" w:rsidRDefault="00EF006C" w:rsidP="00EF006C">
      <w:pPr>
        <w:shd w:val="clear" w:color="auto" w:fill="FFFFFF"/>
        <w:spacing w:line="360" w:lineRule="auto"/>
        <w:ind w:firstLine="600"/>
        <w:rPr>
          <w:rFonts w:ascii="仿宋_GB2312" w:eastAsia="宋体" w:hAnsi="宋体"/>
          <w:color w:val="000000"/>
          <w:sz w:val="30"/>
          <w:szCs w:val="30"/>
        </w:rPr>
      </w:pPr>
      <w:r w:rsidRPr="00F476FB">
        <w:rPr>
          <w:rFonts w:ascii="仿宋_GB2312" w:eastAsia="仿宋_GB2312" w:hAnsi="宋体" w:hint="eastAsia"/>
          <w:color w:val="000000"/>
          <w:sz w:val="30"/>
          <w:szCs w:val="30"/>
        </w:rPr>
        <w:t>（六）</w:t>
      </w:r>
      <w:r w:rsidRPr="00F476FB">
        <w:rPr>
          <w:rFonts w:ascii="仿宋_GB2312" w:eastAsia="仿宋_GB2312" w:hAnsi="仿宋_GB2312" w:cs="仿宋_GB2312" w:hint="eastAsia"/>
          <w:color w:val="000000"/>
          <w:sz w:val="30"/>
          <w:szCs w:val="30"/>
        </w:rPr>
        <w:t>核安全监管部门所提核安全监管要求落实情况综述；</w:t>
      </w:r>
    </w:p>
    <w:p w:rsidR="00EF006C" w:rsidRPr="00F476FB" w:rsidRDefault="00EF006C" w:rsidP="00EF006C">
      <w:pPr>
        <w:shd w:val="clear" w:color="auto" w:fill="FFFFFF"/>
        <w:spacing w:line="360" w:lineRule="auto"/>
        <w:ind w:firstLine="600"/>
        <w:rPr>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t>（七）其他应当报告的事项和活动综述。</w:t>
      </w:r>
    </w:p>
    <w:p w:rsidR="00EF006C" w:rsidRPr="00F476FB" w:rsidRDefault="00EF006C" w:rsidP="00EF006C">
      <w:pPr>
        <w:spacing w:line="360" w:lineRule="auto"/>
        <w:ind w:firstLine="440"/>
        <w:jc w:val="center"/>
        <w:outlineLvl w:val="0"/>
        <w:rPr>
          <w:rFonts w:ascii="黑体" w:eastAsia="黑体" w:hAnsi="黑体"/>
          <w:bCs/>
          <w:color w:val="000000"/>
          <w:sz w:val="30"/>
          <w:szCs w:val="30"/>
        </w:rPr>
      </w:pPr>
    </w:p>
    <w:p w:rsidR="00EF006C" w:rsidRDefault="00EF006C" w:rsidP="00EF006C">
      <w:pPr>
        <w:spacing w:line="360" w:lineRule="auto"/>
        <w:jc w:val="center"/>
        <w:outlineLvl w:val="0"/>
        <w:rPr>
          <w:rFonts w:ascii="黑体" w:eastAsia="黑体" w:hAnsi="黑体"/>
          <w:bCs/>
          <w:color w:val="000000"/>
          <w:sz w:val="30"/>
          <w:szCs w:val="30"/>
        </w:rPr>
      </w:pPr>
      <w:r w:rsidRPr="00F476FB">
        <w:rPr>
          <w:rFonts w:ascii="黑体" w:eastAsia="黑体" w:hAnsi="黑体" w:hint="eastAsia"/>
          <w:bCs/>
          <w:color w:val="000000"/>
          <w:sz w:val="30"/>
          <w:szCs w:val="30"/>
        </w:rPr>
        <w:t>第三章  重要活动报告</w:t>
      </w:r>
    </w:p>
    <w:p w:rsidR="00EF006C" w:rsidRPr="00F476FB" w:rsidRDefault="00EF006C" w:rsidP="00EF006C">
      <w:pPr>
        <w:spacing w:line="360" w:lineRule="auto"/>
        <w:jc w:val="center"/>
        <w:outlineLvl w:val="0"/>
        <w:rPr>
          <w:rFonts w:ascii="黑体" w:eastAsia="黑体" w:hAnsi="黑体"/>
          <w:bCs/>
          <w:color w:val="000000"/>
          <w:sz w:val="30"/>
          <w:szCs w:val="30"/>
        </w:rPr>
      </w:pPr>
    </w:p>
    <w:p w:rsidR="00EF006C" w:rsidRPr="00F476FB" w:rsidRDefault="00EF006C" w:rsidP="00EF006C">
      <w:pPr>
        <w:shd w:val="clear" w:color="auto" w:fill="FFFFFF"/>
        <w:spacing w:line="360" w:lineRule="auto"/>
        <w:ind w:firstLine="602"/>
        <w:rPr>
          <w:rFonts w:ascii="仿宋_GB2312" w:eastAsia="仿宋_GB2312" w:hAnsi="仿宋_GB2312" w:cs="仿宋_GB2312"/>
          <w:color w:val="000000"/>
          <w:sz w:val="30"/>
          <w:szCs w:val="30"/>
        </w:rPr>
      </w:pPr>
      <w:r w:rsidRPr="00F476FB">
        <w:rPr>
          <w:rFonts w:ascii="黑体" w:eastAsia="黑体" w:hAnsi="黑体" w:hint="eastAsia"/>
          <w:bCs/>
          <w:color w:val="000000"/>
          <w:sz w:val="30"/>
          <w:szCs w:val="30"/>
        </w:rPr>
        <w:t xml:space="preserve">第八条  </w:t>
      </w:r>
      <w:r w:rsidRPr="00F476FB">
        <w:rPr>
          <w:rFonts w:ascii="仿宋_GB2312" w:eastAsia="仿宋_GB2312" w:hAnsi="仿宋_GB2312" w:cs="仿宋_GB2312" w:hint="eastAsia"/>
          <w:color w:val="000000"/>
          <w:sz w:val="30"/>
          <w:szCs w:val="30"/>
          <w:lang w:bidi="ar"/>
        </w:rPr>
        <w:t>对未纳入建造阶段月度报告和运行阶段月度报告的重要活动，</w:t>
      </w:r>
      <w:r w:rsidRPr="00F476FB">
        <w:rPr>
          <w:rFonts w:ascii="仿宋_GB2312" w:eastAsia="仿宋_GB2312" w:hAnsi="仿宋_GB2312" w:cs="仿宋_GB2312" w:hint="eastAsia"/>
          <w:color w:val="000000"/>
          <w:sz w:val="30"/>
          <w:szCs w:val="30"/>
        </w:rPr>
        <w:t>研究堆营运单位应当</w:t>
      </w:r>
      <w:r w:rsidRPr="00F476FB">
        <w:rPr>
          <w:rFonts w:ascii="仿宋_GB2312" w:eastAsia="仿宋_GB2312" w:hAnsi="仿宋_GB2312" w:cs="仿宋_GB2312" w:hint="eastAsia"/>
          <w:color w:val="000000"/>
          <w:sz w:val="30"/>
          <w:szCs w:val="30"/>
          <w:lang w:bidi="ar"/>
        </w:rPr>
        <w:t>以公文、信函、电子邮件或者传真等有效方式</w:t>
      </w:r>
      <w:r w:rsidRPr="00F476FB">
        <w:rPr>
          <w:rFonts w:ascii="宋体" w:eastAsia="宋体" w:hAnsi="宋体" w:hint="eastAsia"/>
          <w:color w:val="000000"/>
          <w:sz w:val="30"/>
          <w:szCs w:val="30"/>
        </w:rPr>
        <w:t>，</w:t>
      </w:r>
      <w:r w:rsidRPr="00F476FB">
        <w:rPr>
          <w:rFonts w:ascii="仿宋_GB2312" w:eastAsia="仿宋_GB2312" w:hAnsi="仿宋_GB2312" w:cs="仿宋_GB2312" w:hint="eastAsia"/>
          <w:color w:val="000000"/>
          <w:sz w:val="30"/>
          <w:szCs w:val="30"/>
        </w:rPr>
        <w:t>在进行有关重要活动前</w:t>
      </w:r>
      <w:r w:rsidRPr="00F476FB">
        <w:rPr>
          <w:rFonts w:ascii="仿宋_GB2312" w:eastAsia="仿宋_GB2312" w:hAnsi="仿宋_GB2312" w:cs="仿宋_GB2312" w:hint="eastAsia"/>
          <w:color w:val="000000"/>
          <w:sz w:val="30"/>
          <w:szCs w:val="30"/>
          <w:lang w:bidi="ar"/>
        </w:rPr>
        <w:t>及时向研究堆所在地区核与辐射</w:t>
      </w:r>
      <w:r w:rsidRPr="00F476FB">
        <w:rPr>
          <w:rFonts w:ascii="仿宋_GB2312" w:eastAsia="仿宋_GB2312" w:hAnsi="仿宋_GB2312" w:cs="仿宋_GB2312" w:hint="eastAsia"/>
          <w:color w:val="000000"/>
          <w:sz w:val="30"/>
          <w:szCs w:val="30"/>
          <w:lang w:bidi="ar"/>
        </w:rPr>
        <w:lastRenderedPageBreak/>
        <w:t>安全监督站报告</w:t>
      </w:r>
      <w:r w:rsidRPr="00F476FB">
        <w:rPr>
          <w:rFonts w:ascii="仿宋_GB2312" w:eastAsia="仿宋_GB2312" w:hAnsi="仿宋_GB2312" w:cs="仿宋_GB2312" w:hint="eastAsia"/>
          <w:color w:val="000000"/>
          <w:sz w:val="30"/>
          <w:szCs w:val="30"/>
        </w:rPr>
        <w:t>。</w:t>
      </w:r>
    </w:p>
    <w:p w:rsidR="00EF006C" w:rsidRPr="00F476FB" w:rsidRDefault="00EF006C" w:rsidP="00EF006C">
      <w:pPr>
        <w:pStyle w:val="11"/>
        <w:adjustRightInd w:val="0"/>
        <w:snapToGrid w:val="0"/>
        <w:spacing w:line="360" w:lineRule="auto"/>
        <w:ind w:firstLine="600"/>
        <w:rPr>
          <w:rFonts w:ascii="仿宋_GB2312" w:eastAsia="仿宋_GB2312" w:hAnsi="宋体"/>
          <w:color w:val="000000"/>
          <w:sz w:val="30"/>
          <w:szCs w:val="30"/>
        </w:rPr>
      </w:pPr>
      <w:r w:rsidRPr="00F476FB">
        <w:rPr>
          <w:rFonts w:ascii="黑体" w:eastAsia="黑体" w:hAnsi="黑体" w:hint="eastAsia"/>
          <w:bCs/>
          <w:color w:val="000000"/>
          <w:sz w:val="30"/>
          <w:szCs w:val="30"/>
        </w:rPr>
        <w:t xml:space="preserve">第九条  </w:t>
      </w:r>
      <w:r w:rsidRPr="00F476FB">
        <w:rPr>
          <w:rFonts w:ascii="仿宋_GB2312" w:eastAsia="仿宋_GB2312" w:hAnsi="仿宋_GB2312" w:cs="仿宋_GB2312" w:hint="eastAsia"/>
          <w:color w:val="000000"/>
          <w:sz w:val="30"/>
          <w:szCs w:val="30"/>
        </w:rPr>
        <w:t>本规定第八条规定的</w:t>
      </w:r>
      <w:r w:rsidRPr="00F476FB">
        <w:rPr>
          <w:rFonts w:ascii="仿宋_GB2312" w:eastAsia="仿宋_GB2312" w:hAnsi="宋体" w:hint="eastAsia"/>
          <w:color w:val="000000"/>
          <w:sz w:val="30"/>
          <w:szCs w:val="30"/>
        </w:rPr>
        <w:t>重要活动包括：</w:t>
      </w:r>
    </w:p>
    <w:p w:rsidR="00EF006C" w:rsidRPr="00F476FB" w:rsidRDefault="00EF006C" w:rsidP="00EF006C">
      <w:pPr>
        <w:shd w:val="clear" w:color="auto" w:fill="FFFFFF"/>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（一）研究堆营运单位组织的与核安全有关的重要调查、审查或者检查活动；</w:t>
      </w:r>
    </w:p>
    <w:p w:rsidR="00EF006C" w:rsidRPr="00F476FB" w:rsidRDefault="00EF006C" w:rsidP="00EF006C">
      <w:pPr>
        <w:shd w:val="clear" w:color="auto" w:fill="FFFFFF"/>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（二）国家核安全局或者研究堆所在地区核与辐射安全监督站确定的有关控制点时间变更和后续计划安排；</w:t>
      </w:r>
    </w:p>
    <w:p w:rsidR="00EF006C" w:rsidRPr="00F476FB" w:rsidRDefault="00EF006C" w:rsidP="00EF006C">
      <w:pPr>
        <w:shd w:val="clear" w:color="auto" w:fill="FFFFFF"/>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（三）研究堆营运单位与核安全有关的重要会议、论证、试验和纠正措施；</w:t>
      </w:r>
    </w:p>
    <w:p w:rsidR="00EF006C" w:rsidRPr="00F476FB" w:rsidRDefault="00EF006C" w:rsidP="00EF006C">
      <w:pPr>
        <w:shd w:val="clear" w:color="auto" w:fill="FFFFFF"/>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（四）研究堆营运单位进行的新燃料进场、放射性废物或者乏燃料现场转移或者外运活动；</w:t>
      </w:r>
    </w:p>
    <w:p w:rsidR="00EF006C" w:rsidRPr="00F476FB" w:rsidRDefault="00EF006C" w:rsidP="00EF006C">
      <w:pPr>
        <w:shd w:val="clear" w:color="auto" w:fill="FFFFFF"/>
        <w:spacing w:line="360" w:lineRule="auto"/>
        <w:ind w:firstLine="600"/>
        <w:rPr>
          <w:rFonts w:ascii="仿宋_GB2312" w:eastAsia="仿宋_GB2312" w:hAnsi="宋体"/>
          <w:color w:val="000000"/>
          <w:spacing w:val="-16"/>
          <w:sz w:val="30"/>
          <w:szCs w:val="30"/>
        </w:rPr>
      </w:pPr>
      <w:r w:rsidRPr="00F476FB">
        <w:rPr>
          <w:rFonts w:ascii="仿宋_GB2312" w:eastAsia="仿宋_GB2312" w:hAnsi="宋体" w:hint="eastAsia"/>
          <w:color w:val="000000"/>
          <w:spacing w:val="-16"/>
          <w:sz w:val="30"/>
          <w:szCs w:val="30"/>
        </w:rPr>
        <w:t>（五）国家核安全局或者</w:t>
      </w:r>
      <w:r w:rsidRPr="00F476FB">
        <w:rPr>
          <w:rFonts w:ascii="仿宋_GB2312" w:eastAsia="仿宋_GB2312" w:hAnsi="宋体" w:hint="eastAsia"/>
          <w:color w:val="000000"/>
          <w:spacing w:val="-6"/>
          <w:sz w:val="30"/>
          <w:szCs w:val="30"/>
        </w:rPr>
        <w:t>研究堆营运单位</w:t>
      </w:r>
      <w:r w:rsidR="003F2306">
        <w:rPr>
          <w:rFonts w:ascii="仿宋_GB2312" w:eastAsia="仿宋_GB2312" w:hAnsi="宋体" w:hint="eastAsia"/>
          <w:color w:val="000000"/>
          <w:spacing w:val="-16"/>
          <w:sz w:val="30"/>
          <w:szCs w:val="30"/>
        </w:rPr>
        <w:t>认为应当报告的涉及核安全的其他重要活动。</w:t>
      </w:r>
      <w:bookmarkStart w:id="1" w:name="_GoBack"/>
      <w:bookmarkEnd w:id="1"/>
    </w:p>
    <w:p w:rsidR="00EF006C" w:rsidRPr="00F476FB" w:rsidRDefault="00EF006C" w:rsidP="00EF006C">
      <w:pPr>
        <w:spacing w:line="360" w:lineRule="auto"/>
        <w:jc w:val="center"/>
        <w:outlineLvl w:val="0"/>
        <w:rPr>
          <w:rFonts w:ascii="黑体" w:eastAsia="黑体" w:hAnsi="黑体"/>
          <w:bCs/>
          <w:color w:val="000000"/>
          <w:sz w:val="30"/>
          <w:szCs w:val="30"/>
        </w:rPr>
      </w:pPr>
    </w:p>
    <w:p w:rsidR="00EF006C" w:rsidRDefault="00EF006C" w:rsidP="00EF006C">
      <w:pPr>
        <w:spacing w:line="360" w:lineRule="auto"/>
        <w:jc w:val="center"/>
        <w:outlineLvl w:val="0"/>
        <w:rPr>
          <w:rFonts w:ascii="黑体" w:eastAsia="黑体" w:hAnsi="黑体"/>
          <w:bCs/>
          <w:color w:val="000000"/>
          <w:sz w:val="30"/>
          <w:szCs w:val="30"/>
        </w:rPr>
      </w:pPr>
      <w:r w:rsidRPr="00F476FB">
        <w:rPr>
          <w:rFonts w:ascii="黑体" w:eastAsia="黑体" w:hAnsi="黑体" w:hint="eastAsia"/>
          <w:bCs/>
          <w:color w:val="000000"/>
          <w:sz w:val="30"/>
          <w:szCs w:val="30"/>
        </w:rPr>
        <w:t>第四章  事件报告</w:t>
      </w:r>
    </w:p>
    <w:p w:rsidR="00EF006C" w:rsidRPr="00F476FB" w:rsidRDefault="00EF006C" w:rsidP="00EF006C">
      <w:pPr>
        <w:spacing w:line="360" w:lineRule="auto"/>
        <w:jc w:val="center"/>
        <w:outlineLvl w:val="0"/>
        <w:rPr>
          <w:rFonts w:ascii="黑体" w:eastAsia="黑体" w:hAnsi="黑体"/>
          <w:bCs/>
          <w:color w:val="000000"/>
          <w:sz w:val="30"/>
          <w:szCs w:val="30"/>
        </w:rPr>
      </w:pPr>
    </w:p>
    <w:p w:rsidR="00EF006C" w:rsidRPr="00F476FB" w:rsidRDefault="00EF006C" w:rsidP="00EF006C">
      <w:pPr>
        <w:shd w:val="clear" w:color="auto" w:fill="FFFFFF"/>
        <w:spacing w:line="360" w:lineRule="auto"/>
        <w:ind w:firstLine="602"/>
        <w:rPr>
          <w:rFonts w:ascii="仿宋_GB2312" w:eastAsia="仿宋_GB2312" w:hAnsi="仿宋_GB2312" w:cs="仿宋_GB2312"/>
          <w:color w:val="000000"/>
          <w:sz w:val="30"/>
          <w:szCs w:val="30"/>
        </w:rPr>
      </w:pPr>
      <w:r w:rsidRPr="00F476FB">
        <w:rPr>
          <w:rFonts w:ascii="黑体" w:eastAsia="黑体" w:hAnsi="黑体" w:hint="eastAsia"/>
          <w:bCs/>
          <w:color w:val="000000"/>
          <w:sz w:val="30"/>
          <w:szCs w:val="30"/>
        </w:rPr>
        <w:t xml:space="preserve">第十条  </w:t>
      </w:r>
      <w:r w:rsidRPr="00F476FB">
        <w:rPr>
          <w:rFonts w:ascii="仿宋_GB2312" w:eastAsia="仿宋_GB2312" w:hAnsi="仿宋_GB2312" w:cs="仿宋_GB2312" w:hint="eastAsia"/>
          <w:color w:val="000000"/>
          <w:sz w:val="30"/>
          <w:szCs w:val="30"/>
          <w:lang w:bidi="ar"/>
        </w:rPr>
        <w:t>建造阶段</w:t>
      </w:r>
      <w:r w:rsidRPr="00F476FB">
        <w:rPr>
          <w:rFonts w:ascii="仿宋_GB2312" w:eastAsia="仿宋_GB2312" w:hAnsi="仿宋_GB2312" w:cs="仿宋_GB2312" w:hint="eastAsia"/>
          <w:bCs/>
          <w:color w:val="000000"/>
          <w:sz w:val="30"/>
          <w:szCs w:val="30"/>
        </w:rPr>
        <w:t>研究堆安全重要构筑物、系统和设备以及与其有关的采购、土建、安装和调试等活动出现以下情况的，</w:t>
      </w:r>
      <w:r w:rsidRPr="00F476FB">
        <w:rPr>
          <w:rFonts w:ascii="仿宋_GB2312" w:eastAsia="仿宋_GB2312" w:hAnsi="宋体" w:hint="eastAsia"/>
          <w:color w:val="000000"/>
          <w:sz w:val="30"/>
          <w:szCs w:val="30"/>
        </w:rPr>
        <w:t>研究堆营运单位</w:t>
      </w:r>
      <w:r w:rsidRPr="00F476FB">
        <w:rPr>
          <w:rFonts w:ascii="仿宋_GB2312" w:eastAsia="仿宋_GB2312" w:hAnsi="仿宋_GB2312" w:cs="仿宋_GB2312" w:hint="eastAsia"/>
          <w:bCs/>
          <w:color w:val="000000"/>
          <w:sz w:val="30"/>
          <w:szCs w:val="30"/>
        </w:rPr>
        <w:t>应</w:t>
      </w:r>
      <w:r w:rsidRPr="00F476FB">
        <w:rPr>
          <w:rFonts w:ascii="仿宋_GB2312" w:eastAsia="仿宋_GB2312" w:hAnsi="仿宋_GB2312" w:cs="仿宋_GB2312" w:hint="eastAsia"/>
          <w:color w:val="000000"/>
          <w:sz w:val="30"/>
          <w:szCs w:val="30"/>
        </w:rPr>
        <w:t>向国家核安全局报告建造事件：</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bCs/>
          <w:color w:val="000000"/>
          <w:sz w:val="30"/>
          <w:szCs w:val="30"/>
        </w:rPr>
        <w:t>（一）与相关法律、行政法规、部门规章和国家强制性标准不一致；</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bCs/>
          <w:color w:val="000000"/>
          <w:sz w:val="30"/>
          <w:szCs w:val="30"/>
        </w:rPr>
        <w:lastRenderedPageBreak/>
        <w:t>（二）违反研究堆建造许可文件规定的条件，或者未按照建造许可文件规定的条件完成相关论证、验证工作即开展相关活动；</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bCs/>
          <w:color w:val="000000"/>
          <w:sz w:val="30"/>
          <w:szCs w:val="30"/>
        </w:rPr>
        <w:t>（三）与研究堆建造许可文件中认可的初步安全分析报告、质量保证大纲不一致，或者与研究堆营运单位在建造许可申请文件中承诺遵守的规范、标准或者技术条件要求不一致，导致研究堆安全重要构筑物、系统和设备的安全功能不能满足或者不能确定满足要求；</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bCs/>
          <w:color w:val="000000"/>
          <w:sz w:val="30"/>
          <w:szCs w:val="30"/>
        </w:rPr>
        <w:t>（四）构成研究堆实体屏障的重要设备或者构筑物受到严重损伤，导致其安全功能不能满足或者不能确定满足要求；</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bCs/>
          <w:color w:val="000000"/>
          <w:sz w:val="30"/>
          <w:szCs w:val="30"/>
        </w:rPr>
        <w:t>（五）发生共因事件或者故障；</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bCs/>
          <w:color w:val="000000"/>
          <w:sz w:val="30"/>
          <w:szCs w:val="30"/>
        </w:rPr>
        <w:t>（六）发生原设计未预计</w:t>
      </w:r>
      <w:r w:rsidRPr="00F476FB">
        <w:rPr>
          <w:rFonts w:ascii="仿宋_GB2312" w:eastAsia="仿宋_GB2312" w:hAnsi="仿宋_GB2312" w:cs="仿宋_GB2312" w:hint="eastAsia"/>
          <w:bCs/>
          <w:color w:val="000000"/>
          <w:sz w:val="30"/>
          <w:szCs w:val="30"/>
          <w:lang w:bidi="ar"/>
        </w:rPr>
        <w:t>或者结果超出设计范围的情况</w:t>
      </w:r>
      <w:r w:rsidRPr="00F476FB">
        <w:rPr>
          <w:rFonts w:ascii="仿宋_GB2312" w:eastAsia="仿宋_GB2312" w:hAnsi="仿宋_GB2312" w:cs="仿宋_GB2312" w:hint="eastAsia"/>
          <w:bCs/>
          <w:color w:val="000000"/>
          <w:sz w:val="30"/>
          <w:szCs w:val="30"/>
        </w:rPr>
        <w:t>，导致安全功能可能受到不利影响；</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bCs/>
          <w:color w:val="000000"/>
          <w:sz w:val="30"/>
          <w:szCs w:val="30"/>
        </w:rPr>
        <w:t>（七）发现故意破坏、造假和欺骗情形；</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bCs/>
          <w:color w:val="000000"/>
          <w:sz w:val="30"/>
          <w:szCs w:val="30"/>
        </w:rPr>
        <w:t>（八）国家核安全局或者研究堆营运单位认为应当报告的其他事件。</w:t>
      </w:r>
    </w:p>
    <w:p w:rsidR="00EF006C" w:rsidRPr="00F476FB" w:rsidRDefault="00EF006C" w:rsidP="00EF006C">
      <w:pPr>
        <w:shd w:val="clear" w:color="auto" w:fill="FFFFFF"/>
        <w:spacing w:line="360" w:lineRule="auto"/>
        <w:ind w:firstLine="602"/>
        <w:rPr>
          <w:rFonts w:ascii="仿宋_GB2312" w:eastAsia="仿宋_GB2312" w:hAnsi="仿宋_GB2312" w:cs="仿宋_GB2312"/>
          <w:color w:val="000000"/>
          <w:sz w:val="30"/>
          <w:szCs w:val="30"/>
        </w:rPr>
      </w:pPr>
      <w:r w:rsidRPr="00F476FB">
        <w:rPr>
          <w:rFonts w:ascii="黑体" w:eastAsia="黑体" w:hAnsi="黑体" w:hint="eastAsia"/>
          <w:bCs/>
          <w:color w:val="000000"/>
          <w:sz w:val="30"/>
          <w:szCs w:val="30"/>
        </w:rPr>
        <w:t xml:space="preserve">第十一条  </w:t>
      </w:r>
      <w:r w:rsidRPr="00F476FB">
        <w:rPr>
          <w:rFonts w:ascii="仿宋_GB2312" w:eastAsia="仿宋_GB2312" w:hAnsi="仿宋_GB2312" w:cs="仿宋_GB2312" w:hint="eastAsia"/>
          <w:color w:val="000000"/>
          <w:sz w:val="30"/>
          <w:szCs w:val="30"/>
        </w:rPr>
        <w:t>运行阶段</w:t>
      </w:r>
      <w:r w:rsidRPr="00F476FB">
        <w:rPr>
          <w:rFonts w:ascii="仿宋_GB2312" w:eastAsia="仿宋_GB2312" w:hAnsi="宋体" w:hint="eastAsia"/>
          <w:color w:val="000000"/>
          <w:sz w:val="30"/>
          <w:szCs w:val="30"/>
        </w:rPr>
        <w:t>研究堆营运单位</w:t>
      </w:r>
      <w:r w:rsidRPr="00F476FB">
        <w:rPr>
          <w:rFonts w:ascii="仿宋_GB2312" w:eastAsia="仿宋_GB2312" w:hAnsi="仿宋_GB2312" w:cs="仿宋_GB2312" w:hint="eastAsia"/>
          <w:bCs/>
          <w:color w:val="000000"/>
          <w:sz w:val="30"/>
          <w:szCs w:val="30"/>
        </w:rPr>
        <w:t>应</w:t>
      </w:r>
      <w:r w:rsidRPr="00F476FB">
        <w:rPr>
          <w:rFonts w:ascii="仿宋_GB2312" w:eastAsia="仿宋_GB2312" w:hAnsi="仿宋_GB2312" w:cs="仿宋_GB2312" w:hint="eastAsia"/>
          <w:color w:val="000000"/>
          <w:sz w:val="30"/>
          <w:szCs w:val="30"/>
        </w:rPr>
        <w:t>向国家核安全局报告下列运行事件：</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bCs/>
          <w:color w:val="000000"/>
          <w:sz w:val="30"/>
          <w:szCs w:val="30"/>
        </w:rPr>
        <w:t>（一）研究堆营运单位执行研究堆运行限值和条件所要求的停堆；</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bCs/>
          <w:color w:val="000000"/>
          <w:sz w:val="30"/>
          <w:szCs w:val="30"/>
        </w:rPr>
        <w:lastRenderedPageBreak/>
        <w:t>（二）研究堆超出安全限值、安全系统整定值，或者超出实验的安全限值、安全系统整定值；</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bCs/>
          <w:color w:val="000000"/>
          <w:sz w:val="30"/>
          <w:szCs w:val="30"/>
        </w:rPr>
        <w:t>（三）</w:t>
      </w:r>
      <w:r w:rsidRPr="00F476FB">
        <w:rPr>
          <w:rFonts w:ascii="仿宋_GB2312" w:eastAsia="仿宋_GB2312" w:hAnsi="仿宋_GB2312" w:cs="仿宋_GB2312" w:hint="eastAsia"/>
          <w:bCs/>
          <w:color w:val="000000"/>
          <w:sz w:val="30"/>
          <w:szCs w:val="30"/>
          <w:lang w:bidi="ar"/>
        </w:rPr>
        <w:t>违反研究堆运行限值和条件，或者违反实验的运行限值和条件规定的操作或者状况</w:t>
      </w:r>
      <w:r w:rsidRPr="00F476FB">
        <w:rPr>
          <w:rFonts w:ascii="仿宋_GB2312" w:eastAsia="仿宋_GB2312" w:hAnsi="仿宋_GB2312" w:cs="仿宋_GB2312" w:hint="eastAsia"/>
          <w:bCs/>
          <w:color w:val="000000"/>
          <w:sz w:val="30"/>
          <w:szCs w:val="30"/>
        </w:rPr>
        <w:t>；</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bCs/>
          <w:color w:val="000000"/>
          <w:sz w:val="30"/>
          <w:szCs w:val="30"/>
        </w:rPr>
        <w:t>（四）研究堆主要实体屏障严重劣化，或者出现导致研究堆安全水平明显降低的没有分析过的</w:t>
      </w:r>
      <w:r w:rsidRPr="00F476FB">
        <w:rPr>
          <w:rFonts w:ascii="仿宋_GB2312" w:eastAsia="仿宋_GB2312" w:hAnsi="仿宋_GB2312" w:cs="仿宋_GB2312"/>
          <w:bCs/>
          <w:color w:val="000000"/>
          <w:sz w:val="30"/>
          <w:szCs w:val="30"/>
        </w:rPr>
        <w:t>状</w:t>
      </w:r>
      <w:r w:rsidRPr="00F476FB">
        <w:rPr>
          <w:rFonts w:ascii="仿宋_GB2312" w:eastAsia="仿宋_GB2312" w:hAnsi="仿宋_GB2312" w:cs="仿宋_GB2312" w:hint="eastAsia"/>
          <w:bCs/>
          <w:color w:val="000000"/>
          <w:sz w:val="30"/>
          <w:szCs w:val="30"/>
        </w:rPr>
        <w:t>况；</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bCs/>
          <w:color w:val="000000"/>
          <w:sz w:val="30"/>
          <w:szCs w:val="30"/>
        </w:rPr>
        <w:t>（五）导致反应堆保护系统、专设安全设施自动或者手动触发的事件；</w:t>
      </w:r>
    </w:p>
    <w:p w:rsidR="00EF006C" w:rsidRPr="00F476FB" w:rsidRDefault="00EF006C" w:rsidP="00EF006C">
      <w:pPr>
        <w:spacing w:line="360" w:lineRule="auto"/>
        <w:ind w:firstLineChars="200" w:firstLine="600"/>
        <w:rPr>
          <w:rFonts w:ascii="仿宋_GB2312" w:eastAsia="仿宋_GB2312" w:hAnsi="仿宋_GB2312" w:cs="仿宋_GB2312"/>
          <w:bCs/>
          <w:color w:val="000000"/>
          <w:spacing w:val="-6"/>
          <w:sz w:val="30"/>
          <w:szCs w:val="30"/>
        </w:rPr>
      </w:pPr>
      <w:r w:rsidRPr="00F476FB">
        <w:rPr>
          <w:rFonts w:ascii="仿宋_GB2312" w:eastAsia="仿宋_GB2312" w:hAnsi="仿宋_GB2312" w:cs="仿宋_GB2312" w:hint="eastAsia"/>
          <w:bCs/>
          <w:color w:val="000000"/>
          <w:sz w:val="30"/>
          <w:szCs w:val="30"/>
        </w:rPr>
        <w:t>（六）</w:t>
      </w:r>
      <w:r w:rsidRPr="00F476FB">
        <w:rPr>
          <w:rFonts w:ascii="仿宋_GB2312" w:eastAsia="仿宋_GB2312" w:hAnsi="仿宋_GB2312" w:cs="仿宋_GB2312" w:hint="eastAsia"/>
          <w:bCs/>
          <w:color w:val="000000"/>
          <w:spacing w:val="-6"/>
          <w:sz w:val="30"/>
          <w:szCs w:val="30"/>
        </w:rPr>
        <w:t>任何可能妨碍构筑物或者系统实现安全</w:t>
      </w:r>
      <w:r w:rsidRPr="00F476FB">
        <w:rPr>
          <w:rFonts w:ascii="仿宋_GB2312" w:eastAsia="仿宋_GB2312" w:hAnsi="仿宋_GB2312" w:cs="仿宋_GB2312" w:hint="eastAsia"/>
          <w:bCs/>
          <w:color w:val="000000"/>
          <w:sz w:val="30"/>
          <w:szCs w:val="30"/>
        </w:rPr>
        <w:t>停堆和保持安全停堆状态、排出堆芯余热、控制放射性物质释放、缓解事故后果</w:t>
      </w:r>
      <w:r w:rsidRPr="00F476FB">
        <w:rPr>
          <w:rFonts w:ascii="仿宋_GB2312" w:eastAsia="仿宋_GB2312" w:hAnsi="仿宋_GB2312" w:cs="仿宋_GB2312" w:hint="eastAsia"/>
          <w:bCs/>
          <w:color w:val="000000"/>
          <w:spacing w:val="-6"/>
          <w:sz w:val="30"/>
          <w:szCs w:val="30"/>
        </w:rPr>
        <w:t>等安全功能的事件；</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bCs/>
          <w:color w:val="000000"/>
          <w:sz w:val="30"/>
          <w:szCs w:val="30"/>
        </w:rPr>
        <w:t>（七）同一原因导致安全系统的系列或者</w:t>
      </w:r>
      <w:r w:rsidRPr="00F476FB">
        <w:rPr>
          <w:rFonts w:ascii="仿宋_GB2312" w:eastAsia="仿宋_GB2312" w:hAnsi="仿宋_GB2312" w:cs="仿宋_GB2312" w:hint="eastAsia"/>
          <w:bCs/>
          <w:color w:val="000000"/>
          <w:sz w:val="30"/>
          <w:szCs w:val="30"/>
          <w:lang w:bidi="ar"/>
        </w:rPr>
        <w:t>通道同时失效的事件，这些系统包括</w:t>
      </w:r>
      <w:r w:rsidRPr="00F476FB">
        <w:rPr>
          <w:rFonts w:ascii="仿宋_GB2312" w:eastAsia="仿宋_GB2312" w:hAnsi="仿宋_GB2312" w:cs="仿宋_GB2312" w:hint="eastAsia"/>
          <w:bCs/>
          <w:color w:val="000000"/>
          <w:sz w:val="30"/>
          <w:szCs w:val="30"/>
        </w:rPr>
        <w:t>具有停堆和保持安全停堆状态、排出堆芯余热、</w:t>
      </w:r>
      <w:r w:rsidRPr="00F476FB">
        <w:rPr>
          <w:rFonts w:ascii="仿宋_GB2312" w:eastAsia="仿宋_GB2312" w:hAnsi="仿宋_GB2312" w:cs="仿宋_GB2312" w:hint="eastAsia"/>
          <w:bCs/>
          <w:color w:val="000000"/>
          <w:sz w:val="30"/>
          <w:szCs w:val="30"/>
          <w:lang w:bidi="ar"/>
        </w:rPr>
        <w:t>控制放射性物质释放、缓解事故后果、事故后监测等安全功能的系统</w:t>
      </w:r>
      <w:r w:rsidRPr="00F476FB">
        <w:rPr>
          <w:rFonts w:ascii="仿宋_GB2312" w:eastAsia="仿宋_GB2312" w:hAnsi="仿宋_GB2312" w:cs="仿宋_GB2312" w:hint="eastAsia"/>
          <w:bCs/>
          <w:color w:val="000000"/>
          <w:sz w:val="30"/>
          <w:szCs w:val="30"/>
        </w:rPr>
        <w:t>；</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bCs/>
          <w:color w:val="000000"/>
          <w:sz w:val="30"/>
          <w:szCs w:val="30"/>
        </w:rPr>
        <w:t>（八）在运行阶段发现的，由于设计、采购、土建、安装、调试、维修、试验、检查、修改等方面的原因，或者人员培训、资格考核及质量保证等工作的失误，导致研究堆的某些重要安全物项或参数与最终安全分析报告不符，并对核安全存在不利影响的事件；</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color w:val="000000"/>
          <w:sz w:val="30"/>
          <w:szCs w:val="30"/>
          <w:lang w:bidi="ar"/>
        </w:rPr>
        <w:t>（九）放射性违规排放或者意外释放（排放）或人员受到超剂</w:t>
      </w:r>
      <w:r w:rsidRPr="00F476FB">
        <w:rPr>
          <w:rFonts w:ascii="仿宋_GB2312" w:eastAsia="仿宋_GB2312" w:hAnsi="仿宋_GB2312" w:cs="仿宋_GB2312" w:hint="eastAsia"/>
          <w:color w:val="000000"/>
          <w:sz w:val="30"/>
          <w:szCs w:val="30"/>
          <w:lang w:bidi="ar"/>
        </w:rPr>
        <w:lastRenderedPageBreak/>
        <w:t>量限值辐射照射事件</w:t>
      </w:r>
      <w:r w:rsidRPr="00F476FB">
        <w:rPr>
          <w:rFonts w:ascii="仿宋_GB2312" w:eastAsia="仿宋_GB2312" w:hAnsi="仿宋_GB2312" w:cs="仿宋_GB2312" w:hint="eastAsia"/>
          <w:bCs/>
          <w:color w:val="000000"/>
          <w:sz w:val="30"/>
          <w:szCs w:val="30"/>
        </w:rPr>
        <w:t>；</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bCs/>
          <w:color w:val="000000"/>
          <w:sz w:val="30"/>
          <w:szCs w:val="30"/>
        </w:rPr>
        <w:t>（十）任何对研究堆安全有现实威胁或者明显妨碍研究堆现场人员执行安全运行有关职责的内部事件、自然事件或者其他外部事件、网络攻击事件；</w:t>
      </w:r>
    </w:p>
    <w:p w:rsidR="00EF006C" w:rsidRPr="00F476FB" w:rsidRDefault="00EF006C" w:rsidP="00EF006C">
      <w:pPr>
        <w:spacing w:line="360" w:lineRule="auto"/>
        <w:ind w:firstLineChars="200" w:firstLine="600"/>
        <w:rPr>
          <w:rFonts w:ascii="仿宋_GB2312" w:eastAsia="仿宋_GB2312" w:hAnsi="仿宋_GB2312" w:cs="仿宋_GB2312"/>
          <w:bCs/>
          <w:color w:val="000000"/>
          <w:sz w:val="30"/>
          <w:szCs w:val="30"/>
        </w:rPr>
      </w:pPr>
      <w:r w:rsidRPr="00F476FB">
        <w:rPr>
          <w:rFonts w:ascii="仿宋_GB2312" w:eastAsia="仿宋_GB2312" w:hAnsi="仿宋_GB2312" w:cs="仿宋_GB2312" w:hint="eastAsia"/>
          <w:bCs/>
          <w:color w:val="000000"/>
          <w:sz w:val="30"/>
          <w:szCs w:val="30"/>
        </w:rPr>
        <w:t>（十一）国家核安全局或者研究堆营运单位认为应当报告的其他事件。</w:t>
      </w:r>
    </w:p>
    <w:p w:rsidR="00EF006C" w:rsidRPr="00F476FB" w:rsidRDefault="00EF006C" w:rsidP="00EF006C">
      <w:pPr>
        <w:spacing w:line="360" w:lineRule="auto"/>
        <w:ind w:firstLineChars="200" w:firstLine="600"/>
        <w:rPr>
          <w:sz w:val="30"/>
          <w:szCs w:val="30"/>
        </w:rPr>
      </w:pPr>
      <w:r w:rsidRPr="00F476FB">
        <w:rPr>
          <w:rFonts w:ascii="仿宋_GB2312" w:eastAsia="仿宋_GB2312" w:hAnsi="仿宋_GB2312" w:cs="仿宋_GB2312" w:hint="eastAsia"/>
          <w:color w:val="000000"/>
          <w:sz w:val="30"/>
          <w:szCs w:val="30"/>
        </w:rPr>
        <w:t>研究堆进入应急状态的，研究堆营运单位应当按照本规定第五章有关核事故应急报告的要求进行报告。</w:t>
      </w:r>
    </w:p>
    <w:p w:rsidR="00EF006C" w:rsidRPr="00F476FB" w:rsidRDefault="00EF006C" w:rsidP="00EF006C">
      <w:pPr>
        <w:spacing w:line="360" w:lineRule="auto"/>
        <w:ind w:firstLine="602"/>
        <w:rPr>
          <w:rFonts w:ascii="仿宋_GB2312" w:eastAsia="仿宋_GB2312" w:hAnsi="宋体"/>
          <w:color w:val="000000"/>
          <w:sz w:val="30"/>
          <w:szCs w:val="30"/>
        </w:rPr>
      </w:pPr>
      <w:r w:rsidRPr="00F476FB">
        <w:rPr>
          <w:rFonts w:ascii="黑体" w:eastAsia="黑体" w:hAnsi="黑体" w:hint="eastAsia"/>
          <w:bCs/>
          <w:color w:val="000000"/>
          <w:sz w:val="30"/>
          <w:szCs w:val="30"/>
        </w:rPr>
        <w:t xml:space="preserve">第十二条  </w:t>
      </w:r>
      <w:r w:rsidRPr="00F476FB">
        <w:rPr>
          <w:rFonts w:ascii="仿宋_GB2312" w:eastAsia="仿宋_GB2312" w:hAnsi="宋体" w:hint="eastAsia"/>
          <w:bCs/>
          <w:color w:val="000000"/>
          <w:sz w:val="30"/>
          <w:szCs w:val="30"/>
        </w:rPr>
        <w:t>研究堆</w:t>
      </w:r>
      <w:r w:rsidRPr="00F476FB">
        <w:rPr>
          <w:rFonts w:ascii="仿宋_GB2312" w:eastAsia="仿宋_GB2312" w:hAnsi="宋体" w:hint="eastAsia"/>
          <w:color w:val="000000"/>
          <w:sz w:val="30"/>
          <w:szCs w:val="30"/>
        </w:rPr>
        <w:t>营运单位应当在建造事件、运行事件发生或者发现后二十四小时内，口头通告国家核安全局和</w:t>
      </w:r>
      <w:r w:rsidRPr="00F476FB">
        <w:rPr>
          <w:rFonts w:ascii="仿宋_GB2312" w:eastAsia="仿宋_GB2312" w:hAnsi="宋体" w:hint="eastAsia"/>
          <w:bCs/>
          <w:color w:val="000000"/>
          <w:sz w:val="30"/>
          <w:szCs w:val="30"/>
        </w:rPr>
        <w:t>研究堆</w:t>
      </w:r>
      <w:r w:rsidRPr="00F476FB">
        <w:rPr>
          <w:rFonts w:ascii="仿宋_GB2312" w:eastAsia="仿宋_GB2312" w:hAnsi="宋体" w:hint="eastAsia"/>
          <w:color w:val="000000"/>
          <w:sz w:val="30"/>
          <w:szCs w:val="30"/>
        </w:rPr>
        <w:t>所在地区核与辐射安全监督站。口头通告的方式可以采取电话、当面陈述或者其他有效方式。</w:t>
      </w:r>
    </w:p>
    <w:p w:rsidR="00EF006C" w:rsidRPr="00F476FB" w:rsidRDefault="00EF006C" w:rsidP="00EF006C">
      <w:pPr>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建造事件口头通告的内容应当包括</w:t>
      </w:r>
      <w:r w:rsidRPr="00F476FB">
        <w:rPr>
          <w:rFonts w:ascii="仿宋_GB2312" w:eastAsia="仿宋_GB2312" w:hAnsi="宋体" w:hint="eastAsia"/>
          <w:bCs/>
          <w:color w:val="000000"/>
          <w:sz w:val="30"/>
          <w:szCs w:val="30"/>
        </w:rPr>
        <w:t>研究堆</w:t>
      </w:r>
      <w:r w:rsidRPr="00F476FB">
        <w:rPr>
          <w:rFonts w:ascii="仿宋_GB2312" w:eastAsia="仿宋_GB2312" w:hAnsi="宋体" w:hint="eastAsia"/>
          <w:color w:val="000000"/>
          <w:sz w:val="30"/>
          <w:szCs w:val="30"/>
        </w:rPr>
        <w:t>名称、事件发生时间、报告依据、事件摘要和报告人。</w:t>
      </w:r>
    </w:p>
    <w:p w:rsidR="00EF006C" w:rsidRPr="00F476FB" w:rsidRDefault="00EF006C" w:rsidP="00EF006C">
      <w:pPr>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运行事件口头通告的内容应当包括研究堆名称、事件发生时间、报告依据、事件发生前研究堆状态和功率水平、事件初步情况，以及口头通告时所处的状况。</w:t>
      </w:r>
    </w:p>
    <w:p w:rsidR="00EF006C" w:rsidRPr="00F476FB" w:rsidRDefault="00EF006C" w:rsidP="00EF006C">
      <w:pPr>
        <w:spacing w:line="360" w:lineRule="auto"/>
        <w:ind w:firstLine="602"/>
        <w:rPr>
          <w:rFonts w:ascii="仿宋_GB2312" w:eastAsia="仿宋_GB2312" w:hAnsi="宋体"/>
          <w:color w:val="000000"/>
          <w:sz w:val="30"/>
          <w:szCs w:val="30"/>
        </w:rPr>
      </w:pPr>
      <w:r w:rsidRPr="00F476FB">
        <w:rPr>
          <w:rFonts w:ascii="黑体" w:eastAsia="黑体" w:hAnsi="黑体" w:hint="eastAsia"/>
          <w:bCs/>
          <w:color w:val="000000"/>
          <w:sz w:val="30"/>
          <w:szCs w:val="30"/>
        </w:rPr>
        <w:t xml:space="preserve">第十三条  </w:t>
      </w:r>
      <w:r w:rsidRPr="00F476FB">
        <w:rPr>
          <w:rFonts w:ascii="仿宋_GB2312" w:eastAsia="仿宋_GB2312" w:hAnsi="宋体" w:hint="eastAsia"/>
          <w:bCs/>
          <w:color w:val="000000"/>
          <w:sz w:val="30"/>
          <w:szCs w:val="30"/>
        </w:rPr>
        <w:t>研究堆</w:t>
      </w:r>
      <w:r w:rsidRPr="00F476FB">
        <w:rPr>
          <w:rFonts w:ascii="仿宋_GB2312" w:eastAsia="仿宋_GB2312" w:hAnsi="宋体" w:hint="eastAsia"/>
          <w:color w:val="000000"/>
          <w:sz w:val="30"/>
          <w:szCs w:val="30"/>
        </w:rPr>
        <w:t>营运单位应当在建造事件、运行事件发生或者发现后三日内，向国家核安全局和研究堆所在地区核与辐射安全</w:t>
      </w:r>
      <w:r w:rsidRPr="00F476FB">
        <w:rPr>
          <w:rFonts w:ascii="仿宋_GB2312" w:eastAsia="仿宋_GB2312" w:hAnsi="宋体" w:hint="eastAsia"/>
          <w:color w:val="000000"/>
          <w:sz w:val="30"/>
          <w:szCs w:val="30"/>
        </w:rPr>
        <w:lastRenderedPageBreak/>
        <w:t>监督站提交书面通告。</w:t>
      </w:r>
    </w:p>
    <w:p w:rsidR="00EF006C" w:rsidRPr="00F476FB" w:rsidRDefault="00EF006C" w:rsidP="00EF006C">
      <w:pPr>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建造事件书面通告的内容应当包括本规定第十二条规定的口头通告的内容，以及出现问题的构筑物、系统和设备及其供货商、制造厂或者施工单位等。</w:t>
      </w:r>
    </w:p>
    <w:p w:rsidR="00EF006C" w:rsidRPr="00F476FB" w:rsidRDefault="00EF006C" w:rsidP="00EF006C">
      <w:pPr>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运行事件书面通告的内容应当包括本规定第十二条规定的口头通告的内容，以及初步事件分级、事件对运行的影响、放射性后果、出现问题的系统或者设备等。</w:t>
      </w:r>
    </w:p>
    <w:p w:rsidR="00EF006C" w:rsidRPr="00F476FB" w:rsidRDefault="00EF006C" w:rsidP="00EF006C">
      <w:pPr>
        <w:spacing w:line="360" w:lineRule="auto"/>
        <w:ind w:firstLine="602"/>
        <w:rPr>
          <w:rFonts w:ascii="仿宋_GB2312" w:eastAsia="仿宋_GB2312" w:hAnsi="宋体"/>
          <w:color w:val="000000"/>
          <w:sz w:val="30"/>
          <w:szCs w:val="30"/>
        </w:rPr>
      </w:pPr>
      <w:r w:rsidRPr="00F476FB">
        <w:rPr>
          <w:rFonts w:ascii="黑体" w:eastAsia="黑体" w:hAnsi="黑体" w:hint="eastAsia"/>
          <w:bCs/>
          <w:color w:val="000000"/>
          <w:sz w:val="30"/>
          <w:szCs w:val="30"/>
        </w:rPr>
        <w:t xml:space="preserve">第十四条  </w:t>
      </w:r>
      <w:r w:rsidRPr="00F476FB">
        <w:rPr>
          <w:rFonts w:ascii="仿宋_GB2312" w:eastAsia="仿宋_GB2312" w:hAnsi="宋体" w:hint="eastAsia"/>
          <w:bCs/>
          <w:color w:val="000000"/>
          <w:sz w:val="30"/>
          <w:szCs w:val="30"/>
        </w:rPr>
        <w:t>研究堆</w:t>
      </w:r>
      <w:r w:rsidRPr="00F476FB">
        <w:rPr>
          <w:rFonts w:ascii="仿宋_GB2312" w:eastAsia="仿宋_GB2312" w:hAnsi="宋体" w:hint="eastAsia"/>
          <w:color w:val="000000"/>
          <w:sz w:val="30"/>
          <w:szCs w:val="30"/>
        </w:rPr>
        <w:t>营运单位应当在建造事件、运行事件发生或者发现后三十日内，向国家核安全局提交事件报告。</w:t>
      </w:r>
    </w:p>
    <w:p w:rsidR="00EF006C" w:rsidRPr="00F476FB" w:rsidRDefault="00EF006C" w:rsidP="00EF006C">
      <w:pPr>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提交事件报告的期限已届满，</w:t>
      </w:r>
      <w:r w:rsidRPr="00F476FB">
        <w:rPr>
          <w:rFonts w:ascii="仿宋_GB2312" w:eastAsia="仿宋_GB2312" w:hAnsi="宋体" w:hint="eastAsia"/>
          <w:bCs/>
          <w:color w:val="000000"/>
          <w:sz w:val="30"/>
          <w:szCs w:val="30"/>
        </w:rPr>
        <w:t>研究堆</w:t>
      </w:r>
      <w:r w:rsidRPr="00F476FB">
        <w:rPr>
          <w:rFonts w:ascii="仿宋_GB2312" w:eastAsia="仿宋_GB2312" w:hAnsi="宋体" w:hint="eastAsia"/>
          <w:color w:val="000000"/>
          <w:sz w:val="30"/>
          <w:szCs w:val="30"/>
        </w:rPr>
        <w:t>营运单位对事件的处理尚没有结论或者没有处理完毕的，可以先向国家核安全局提交阶段性事件报告</w:t>
      </w:r>
      <w:r w:rsidRPr="00F476FB">
        <w:rPr>
          <w:rFonts w:ascii="仿宋_GB2312" w:eastAsia="仿宋_GB2312" w:hAnsi="仿宋_GB2312" w:cs="仿宋_GB2312" w:hint="eastAsia"/>
          <w:color w:val="000000"/>
          <w:sz w:val="30"/>
          <w:szCs w:val="30"/>
          <w:lang w:val="zh-CN" w:bidi="zh-CN"/>
        </w:rPr>
        <w:t>及下阶段的工作内容和计划</w:t>
      </w:r>
      <w:r w:rsidRPr="00F476FB">
        <w:rPr>
          <w:rFonts w:ascii="仿宋_GB2312" w:eastAsia="仿宋_GB2312" w:hAnsi="宋体" w:hint="eastAsia"/>
          <w:color w:val="000000"/>
          <w:sz w:val="30"/>
          <w:szCs w:val="30"/>
        </w:rPr>
        <w:t>，并在事件处理完毕后提交补充信息。</w:t>
      </w:r>
    </w:p>
    <w:p w:rsidR="00EF006C" w:rsidRPr="00F476FB" w:rsidRDefault="00EF006C" w:rsidP="00EF006C">
      <w:pPr>
        <w:spacing w:line="360" w:lineRule="auto"/>
        <w:ind w:firstLine="600"/>
        <w:rPr>
          <w:rFonts w:ascii="仿宋_GB2312" w:eastAsia="仿宋_GB2312" w:hAnsi="宋体"/>
          <w:color w:val="000000"/>
          <w:sz w:val="30"/>
          <w:szCs w:val="30"/>
        </w:rPr>
      </w:pPr>
      <w:r w:rsidRPr="00F476FB">
        <w:rPr>
          <w:rFonts w:ascii="仿宋_GB2312" w:eastAsia="仿宋_GB2312" w:hAnsi="宋体" w:hint="eastAsia"/>
          <w:color w:val="000000"/>
          <w:sz w:val="30"/>
          <w:szCs w:val="30"/>
        </w:rPr>
        <w:t>建造事件报告的内容应当包括事件背景、事件描述、已经制定的或者正在进行的纠正措施、事件对工程质量和进度的影响、事件的原因分析和经验教训、事件对安全影响的分析等。</w:t>
      </w:r>
    </w:p>
    <w:p w:rsidR="00EF006C" w:rsidRPr="00F476FB" w:rsidRDefault="00EF006C" w:rsidP="00EF006C">
      <w:pPr>
        <w:shd w:val="clear" w:color="auto" w:fill="FFFFFF"/>
        <w:spacing w:line="360" w:lineRule="auto"/>
        <w:ind w:firstLine="600"/>
        <w:rPr>
          <w:rFonts w:ascii="仿宋_GB2312" w:eastAsia="仿宋_GB2312" w:hAnsi="仿宋_GB2312" w:cs="仿宋_GB2312"/>
          <w:color w:val="000000"/>
          <w:sz w:val="30"/>
          <w:szCs w:val="30"/>
        </w:rPr>
      </w:pPr>
      <w:r w:rsidRPr="00F476FB">
        <w:rPr>
          <w:rFonts w:ascii="仿宋_GB2312" w:eastAsia="仿宋_GB2312" w:hAnsi="仿宋_GB2312" w:cs="仿宋_GB2312" w:hint="eastAsia"/>
          <w:color w:val="000000"/>
          <w:sz w:val="30"/>
          <w:szCs w:val="30"/>
        </w:rPr>
        <w:t>运行事件报告的内容包括事件描述、主要的失效、安全系统响应、事件原因分析、安全后果评估、纠正措施、事件分级、以往类似事件、事件编码等。</w:t>
      </w:r>
    </w:p>
    <w:p w:rsidR="00EF006C" w:rsidRPr="00F476FB" w:rsidRDefault="00EF006C" w:rsidP="00EF006C">
      <w:pPr>
        <w:spacing w:line="360" w:lineRule="auto"/>
        <w:ind w:firstLine="602"/>
        <w:rPr>
          <w:rFonts w:ascii="仿宋_GB2312" w:eastAsia="仿宋_GB2312" w:hAnsi="宋体"/>
          <w:b/>
          <w:bCs/>
          <w:color w:val="000000"/>
          <w:sz w:val="30"/>
          <w:szCs w:val="30"/>
        </w:rPr>
      </w:pPr>
      <w:r w:rsidRPr="00F476FB">
        <w:rPr>
          <w:rFonts w:ascii="黑体" w:eastAsia="黑体" w:hAnsi="黑体" w:hint="eastAsia"/>
          <w:bCs/>
          <w:color w:val="000000"/>
          <w:sz w:val="30"/>
          <w:szCs w:val="30"/>
        </w:rPr>
        <w:lastRenderedPageBreak/>
        <w:t xml:space="preserve">第十五条  </w:t>
      </w:r>
      <w:r w:rsidRPr="00F476FB">
        <w:rPr>
          <w:rFonts w:ascii="仿宋_GB2312" w:eastAsia="仿宋_GB2312" w:hAnsi="仿宋_GB2312" w:cs="仿宋_GB2312" w:hint="eastAsia"/>
          <w:color w:val="000000"/>
          <w:sz w:val="30"/>
          <w:szCs w:val="30"/>
          <w:lang w:bidi="ar"/>
        </w:rPr>
        <w:t>国家核安全局认为研究堆营运单位提交的事件报告不够清晰和完整的，研究堆营运单位应当在对事件报告内容进行补充或者修改后重新提交。</w:t>
      </w:r>
    </w:p>
    <w:p w:rsidR="00EF006C" w:rsidRPr="00F476FB" w:rsidRDefault="00EF006C" w:rsidP="00EF006C">
      <w:pPr>
        <w:spacing w:line="360" w:lineRule="auto"/>
        <w:jc w:val="center"/>
        <w:outlineLvl w:val="0"/>
        <w:rPr>
          <w:rFonts w:ascii="黑体" w:eastAsia="黑体" w:hAnsi="黑体"/>
          <w:bCs/>
          <w:color w:val="000000"/>
          <w:sz w:val="30"/>
          <w:szCs w:val="30"/>
        </w:rPr>
      </w:pPr>
    </w:p>
    <w:p w:rsidR="00EF006C" w:rsidRDefault="00EF006C" w:rsidP="00EF006C">
      <w:pPr>
        <w:spacing w:line="360" w:lineRule="auto"/>
        <w:jc w:val="center"/>
        <w:outlineLvl w:val="0"/>
        <w:rPr>
          <w:rFonts w:ascii="黑体" w:eastAsia="黑体" w:hAnsi="黑体"/>
          <w:bCs/>
          <w:color w:val="000000"/>
          <w:sz w:val="30"/>
          <w:szCs w:val="30"/>
        </w:rPr>
      </w:pPr>
      <w:r w:rsidRPr="00F476FB">
        <w:rPr>
          <w:rFonts w:ascii="黑体" w:eastAsia="黑体" w:hAnsi="黑体" w:hint="eastAsia"/>
          <w:bCs/>
          <w:color w:val="000000"/>
          <w:sz w:val="30"/>
          <w:szCs w:val="30"/>
        </w:rPr>
        <w:t>第五章  核事故应急报告</w:t>
      </w:r>
    </w:p>
    <w:p w:rsidR="00EF006C" w:rsidRPr="00F476FB" w:rsidRDefault="00EF006C" w:rsidP="00EF006C">
      <w:pPr>
        <w:spacing w:line="360" w:lineRule="auto"/>
        <w:jc w:val="center"/>
        <w:outlineLvl w:val="0"/>
        <w:rPr>
          <w:rFonts w:ascii="黑体" w:eastAsia="黑体" w:hAnsi="黑体"/>
          <w:bCs/>
          <w:color w:val="000000"/>
          <w:sz w:val="30"/>
          <w:szCs w:val="30"/>
        </w:rPr>
      </w:pPr>
    </w:p>
    <w:p w:rsidR="00EF006C" w:rsidRPr="00F476FB" w:rsidRDefault="00EF006C" w:rsidP="00EF006C">
      <w:pPr>
        <w:shd w:val="clear" w:color="auto" w:fill="FFFFFF"/>
        <w:spacing w:line="360" w:lineRule="auto"/>
        <w:ind w:firstLine="601"/>
        <w:rPr>
          <w:rFonts w:ascii="仿宋_GB2312" w:eastAsia="仿宋_GB2312" w:hAnsi="宋体"/>
          <w:color w:val="000000"/>
          <w:sz w:val="30"/>
          <w:szCs w:val="30"/>
        </w:rPr>
      </w:pPr>
      <w:r w:rsidRPr="00F476FB">
        <w:rPr>
          <w:rFonts w:ascii="黑体" w:eastAsia="黑体" w:hAnsi="黑体" w:hint="eastAsia"/>
          <w:bCs/>
          <w:color w:val="000000"/>
          <w:sz w:val="30"/>
          <w:szCs w:val="30"/>
        </w:rPr>
        <w:t>第十六条</w:t>
      </w:r>
      <w:r w:rsidRPr="00F476FB">
        <w:rPr>
          <w:rFonts w:ascii="仿宋_GB2312" w:eastAsia="仿宋_GB2312" w:hAnsi="宋体" w:hint="eastAsia"/>
          <w:b/>
          <w:bCs/>
          <w:color w:val="000000"/>
          <w:sz w:val="30"/>
          <w:szCs w:val="30"/>
        </w:rPr>
        <w:t xml:space="preserve">  </w:t>
      </w:r>
      <w:r w:rsidRPr="00F476FB">
        <w:rPr>
          <w:rFonts w:ascii="仿宋_GB2312" w:eastAsia="仿宋_GB2312" w:hAnsi="宋体" w:hint="eastAsia"/>
          <w:color w:val="000000"/>
          <w:sz w:val="30"/>
          <w:szCs w:val="30"/>
        </w:rPr>
        <w:t>研究堆进入应急状态、应急状态变更或者应急状态终止后三十分钟内，研究堆营运单位应当首先用电话，随后用传真</w:t>
      </w:r>
      <w:r w:rsidRPr="00F476FB">
        <w:rPr>
          <w:rFonts w:ascii="仿宋_GB2312" w:eastAsia="仿宋_GB2312" w:hAnsi="仿宋_GB2312" w:cs="仿宋_GB2312" w:hint="eastAsia"/>
          <w:color w:val="000000"/>
          <w:sz w:val="30"/>
          <w:szCs w:val="30"/>
        </w:rPr>
        <w:t>或者其他约定的电子信息传输</w:t>
      </w:r>
      <w:r w:rsidRPr="00F476FB">
        <w:rPr>
          <w:rFonts w:ascii="仿宋_GB2312" w:eastAsia="仿宋_GB2312" w:hAnsi="宋体" w:hint="eastAsia"/>
          <w:color w:val="000000"/>
          <w:sz w:val="30"/>
          <w:szCs w:val="30"/>
        </w:rPr>
        <w:t>方式向国家核安全局和研究堆所在地区核与辐射安全监督站发出核事故应急通告。</w:t>
      </w:r>
    </w:p>
    <w:p w:rsidR="00EF006C" w:rsidRPr="00F476FB" w:rsidRDefault="00EF006C" w:rsidP="00EF006C">
      <w:pPr>
        <w:shd w:val="clear" w:color="auto" w:fill="FFFFFF"/>
        <w:spacing w:line="360" w:lineRule="auto"/>
        <w:ind w:firstLine="601"/>
        <w:rPr>
          <w:rFonts w:ascii="仿宋_GB2312" w:eastAsia="仿宋_GB2312" w:hAnsi="宋体"/>
          <w:color w:val="000000"/>
          <w:sz w:val="30"/>
          <w:szCs w:val="30"/>
        </w:rPr>
      </w:pPr>
      <w:r w:rsidRPr="00F476FB">
        <w:rPr>
          <w:rFonts w:ascii="黑体" w:eastAsia="黑体" w:hAnsi="黑体" w:hint="eastAsia"/>
          <w:bCs/>
          <w:color w:val="000000"/>
          <w:sz w:val="30"/>
          <w:szCs w:val="30"/>
        </w:rPr>
        <w:t xml:space="preserve">第十七条  </w:t>
      </w:r>
      <w:r w:rsidRPr="00F476FB">
        <w:rPr>
          <w:rFonts w:ascii="仿宋_GB2312" w:eastAsia="仿宋_GB2312" w:hAnsi="宋体" w:hint="eastAsia"/>
          <w:color w:val="000000"/>
          <w:sz w:val="30"/>
          <w:szCs w:val="30"/>
        </w:rPr>
        <w:t>研究堆进入应急状态后，研究堆营运单位应当保持与国家核安全局应急通讯平台的畅通，直到应急状态终止。</w:t>
      </w:r>
    </w:p>
    <w:p w:rsidR="00EF006C" w:rsidRPr="00F476FB" w:rsidRDefault="00EF006C" w:rsidP="00EF006C">
      <w:pPr>
        <w:shd w:val="clear" w:color="auto" w:fill="FFFFFF"/>
        <w:spacing w:line="360" w:lineRule="auto"/>
        <w:ind w:firstLine="601"/>
        <w:rPr>
          <w:rFonts w:ascii="仿宋_GB2312" w:eastAsia="仿宋_GB2312" w:hAnsi="宋体"/>
          <w:color w:val="000000"/>
          <w:sz w:val="30"/>
          <w:szCs w:val="30"/>
        </w:rPr>
      </w:pPr>
      <w:r w:rsidRPr="00F476FB">
        <w:rPr>
          <w:rFonts w:ascii="黑体" w:eastAsia="黑体" w:hAnsi="黑体" w:hint="eastAsia"/>
          <w:bCs/>
          <w:color w:val="000000"/>
          <w:sz w:val="30"/>
          <w:szCs w:val="30"/>
        </w:rPr>
        <w:t xml:space="preserve">第十八条  </w:t>
      </w:r>
      <w:r w:rsidRPr="00F476FB">
        <w:rPr>
          <w:rFonts w:ascii="仿宋_GB2312" w:eastAsia="仿宋_GB2312" w:hAnsi="宋体" w:hint="eastAsia"/>
          <w:color w:val="000000"/>
          <w:sz w:val="30"/>
          <w:szCs w:val="30"/>
        </w:rPr>
        <w:t>研究堆进入厂房应急或者高于厂房应急状态后的一小时内，研究堆营运单位应当首先用电话，随后用传真</w:t>
      </w:r>
      <w:r w:rsidRPr="00F476FB">
        <w:rPr>
          <w:rFonts w:ascii="仿宋_GB2312" w:eastAsia="仿宋_GB2312" w:hAnsi="仿宋_GB2312" w:cs="仿宋_GB2312" w:hint="eastAsia"/>
          <w:color w:val="000000"/>
          <w:sz w:val="30"/>
          <w:szCs w:val="30"/>
        </w:rPr>
        <w:t>或者其他约定的电子信息传输</w:t>
      </w:r>
      <w:r w:rsidRPr="00F476FB">
        <w:rPr>
          <w:rFonts w:ascii="仿宋_GB2312" w:eastAsia="仿宋_GB2312" w:hAnsi="宋体" w:hint="eastAsia"/>
          <w:color w:val="000000"/>
          <w:sz w:val="30"/>
          <w:szCs w:val="30"/>
        </w:rPr>
        <w:t>方式向国家核安全局和研究堆所在地区核与辐射安全监督站发出核事故应急报告，并在首次发出核事故应急报告之后持续发出核事故应急报告，直至应急状态终止。</w:t>
      </w:r>
    </w:p>
    <w:p w:rsidR="00EF006C" w:rsidRPr="00F476FB" w:rsidRDefault="00EF006C" w:rsidP="00EF006C">
      <w:pPr>
        <w:shd w:val="clear" w:color="auto" w:fill="FFFFFF"/>
        <w:spacing w:line="360" w:lineRule="auto"/>
        <w:ind w:firstLine="601"/>
        <w:rPr>
          <w:rFonts w:ascii="仿宋_GB2312" w:eastAsia="仿宋_GB2312" w:hAnsi="宋体"/>
          <w:color w:val="000000"/>
          <w:sz w:val="30"/>
          <w:szCs w:val="30"/>
        </w:rPr>
      </w:pPr>
      <w:r w:rsidRPr="00F476FB">
        <w:rPr>
          <w:rFonts w:ascii="仿宋_GB2312" w:eastAsia="仿宋_GB2312" w:hAnsi="宋体" w:hint="eastAsia"/>
          <w:color w:val="000000"/>
          <w:sz w:val="30"/>
          <w:szCs w:val="30"/>
        </w:rPr>
        <w:t>同一应急状态下，研究堆营运单位连续两次发出核事故应急报告的时间间隔不应超过两小时；事故态势得到控制后，研究堆营运</w:t>
      </w:r>
      <w:r w:rsidRPr="00F476FB">
        <w:rPr>
          <w:rFonts w:ascii="仿宋_GB2312" w:eastAsia="仿宋_GB2312" w:hAnsi="宋体" w:hint="eastAsia"/>
          <w:color w:val="000000"/>
          <w:sz w:val="30"/>
          <w:szCs w:val="30"/>
        </w:rPr>
        <w:lastRenderedPageBreak/>
        <w:t>单位发出核事故应急报告的时间间隔可适当延长，但不得超过六小时。</w:t>
      </w:r>
    </w:p>
    <w:p w:rsidR="00EF006C" w:rsidRPr="00F476FB" w:rsidRDefault="00EF006C" w:rsidP="00EF006C">
      <w:pPr>
        <w:shd w:val="clear" w:color="auto" w:fill="FFFFFF"/>
        <w:spacing w:line="360" w:lineRule="auto"/>
        <w:ind w:firstLine="601"/>
        <w:rPr>
          <w:rFonts w:ascii="仿宋_GB2312" w:eastAsia="仿宋_GB2312" w:hAnsi="宋体"/>
          <w:color w:val="000000"/>
          <w:sz w:val="30"/>
          <w:szCs w:val="30"/>
        </w:rPr>
      </w:pPr>
      <w:r w:rsidRPr="00F476FB">
        <w:rPr>
          <w:rFonts w:ascii="仿宋_GB2312" w:eastAsia="仿宋_GB2312" w:hAnsi="宋体" w:hint="eastAsia"/>
          <w:color w:val="000000"/>
          <w:sz w:val="30"/>
          <w:szCs w:val="30"/>
        </w:rPr>
        <w:t>研究堆营运单位认为有必要时,可以向国家核安全局和研究堆所在地区核与辐射安全监督站即时报送核事故应急报告，不受本条规定的时间间隔限制。</w:t>
      </w:r>
    </w:p>
    <w:p w:rsidR="00EF006C" w:rsidRPr="00F476FB" w:rsidRDefault="00EF006C" w:rsidP="00EF006C">
      <w:pPr>
        <w:shd w:val="clear" w:color="auto" w:fill="FFFFFF"/>
        <w:spacing w:line="360" w:lineRule="auto"/>
        <w:ind w:firstLine="601"/>
        <w:rPr>
          <w:rFonts w:ascii="仿宋_GB2312" w:eastAsia="仿宋_GB2312" w:hAnsi="宋体"/>
          <w:color w:val="000000"/>
          <w:sz w:val="30"/>
          <w:szCs w:val="30"/>
        </w:rPr>
      </w:pPr>
      <w:r w:rsidRPr="00F476FB">
        <w:rPr>
          <w:rFonts w:ascii="黑体" w:eastAsia="黑体" w:hAnsi="黑体" w:hint="eastAsia"/>
          <w:bCs/>
          <w:color w:val="000000"/>
          <w:sz w:val="30"/>
          <w:szCs w:val="30"/>
        </w:rPr>
        <w:t xml:space="preserve">第十九条  </w:t>
      </w:r>
      <w:r w:rsidRPr="00F476FB">
        <w:rPr>
          <w:rFonts w:ascii="仿宋_GB2312" w:eastAsia="仿宋_GB2312" w:hAnsi="宋体" w:hint="eastAsia"/>
          <w:color w:val="000000"/>
          <w:sz w:val="30"/>
          <w:szCs w:val="30"/>
        </w:rPr>
        <w:t>研究堆应急状态终止后三十日内，研究堆营运单位应当向国家核安全局提交研究堆核事故评价报告，并在核事故评价报告中对核事件或者事故进行分级。</w:t>
      </w:r>
    </w:p>
    <w:p w:rsidR="00EF006C" w:rsidRPr="00F476FB" w:rsidRDefault="00EF006C" w:rsidP="00EF006C">
      <w:pPr>
        <w:spacing w:line="360" w:lineRule="auto"/>
        <w:jc w:val="center"/>
        <w:outlineLvl w:val="0"/>
        <w:rPr>
          <w:rFonts w:ascii="黑体" w:eastAsia="黑体" w:hAnsi="黑体"/>
          <w:bCs/>
          <w:color w:val="000000"/>
          <w:sz w:val="30"/>
          <w:szCs w:val="30"/>
        </w:rPr>
      </w:pPr>
    </w:p>
    <w:p w:rsidR="00EF006C" w:rsidRDefault="00EF006C" w:rsidP="00EF006C">
      <w:pPr>
        <w:spacing w:line="360" w:lineRule="auto"/>
        <w:jc w:val="center"/>
        <w:outlineLvl w:val="0"/>
        <w:rPr>
          <w:rFonts w:ascii="黑体" w:eastAsia="黑体" w:hAnsi="黑体"/>
          <w:bCs/>
          <w:color w:val="000000"/>
          <w:sz w:val="30"/>
          <w:szCs w:val="30"/>
        </w:rPr>
      </w:pPr>
      <w:r w:rsidRPr="00F476FB">
        <w:rPr>
          <w:rFonts w:ascii="黑体" w:eastAsia="黑体" w:hAnsi="黑体" w:hint="eastAsia"/>
          <w:bCs/>
          <w:color w:val="000000"/>
          <w:sz w:val="30"/>
          <w:szCs w:val="30"/>
        </w:rPr>
        <w:t>第六章  附  则</w:t>
      </w:r>
    </w:p>
    <w:p w:rsidR="00EF006C" w:rsidRPr="00F476FB" w:rsidRDefault="00EF006C" w:rsidP="00EF006C">
      <w:pPr>
        <w:spacing w:line="360" w:lineRule="auto"/>
        <w:jc w:val="center"/>
        <w:outlineLvl w:val="0"/>
        <w:rPr>
          <w:rFonts w:ascii="黑体" w:eastAsia="黑体" w:hAnsi="黑体"/>
          <w:bCs/>
          <w:color w:val="000000"/>
          <w:sz w:val="30"/>
          <w:szCs w:val="30"/>
        </w:rPr>
      </w:pPr>
    </w:p>
    <w:p w:rsidR="00EF006C" w:rsidRPr="00F476FB" w:rsidRDefault="00EF006C" w:rsidP="00EF006C">
      <w:pPr>
        <w:shd w:val="clear" w:color="auto" w:fill="FFFFFF"/>
        <w:spacing w:line="360" w:lineRule="auto"/>
        <w:ind w:firstLine="600"/>
        <w:rPr>
          <w:rFonts w:ascii="黑体" w:eastAsia="黑体" w:hAnsi="黑体"/>
          <w:bCs/>
          <w:color w:val="000000"/>
          <w:sz w:val="30"/>
          <w:szCs w:val="30"/>
        </w:rPr>
      </w:pPr>
      <w:r w:rsidRPr="00F476FB">
        <w:rPr>
          <w:rFonts w:ascii="黑体" w:eastAsia="黑体" w:hAnsi="黑体" w:hint="eastAsia"/>
          <w:bCs/>
          <w:color w:val="000000"/>
          <w:sz w:val="30"/>
          <w:szCs w:val="30"/>
        </w:rPr>
        <w:t xml:space="preserve">第二十条  </w:t>
      </w:r>
      <w:r w:rsidRPr="00F476FB">
        <w:rPr>
          <w:rFonts w:ascii="仿宋_GB2312" w:eastAsia="仿宋_GB2312" w:hAnsi="宋体" w:hint="eastAsia"/>
          <w:color w:val="000000"/>
          <w:sz w:val="30"/>
          <w:szCs w:val="30"/>
        </w:rPr>
        <w:t>研究堆营运单位提交月度报告、年度报告、事件书面通告、事件报告和核事故评价报告的届满之日是节假日的，顺延至节假日后第一个工作日。</w:t>
      </w:r>
    </w:p>
    <w:p w:rsidR="00EF006C" w:rsidRPr="00F476FB" w:rsidRDefault="00EF006C" w:rsidP="00EF006C">
      <w:pPr>
        <w:shd w:val="clear" w:color="auto" w:fill="FFFFFF"/>
        <w:spacing w:line="360" w:lineRule="auto"/>
        <w:ind w:firstLine="602"/>
        <w:rPr>
          <w:rFonts w:ascii="仿宋_GB2312" w:eastAsia="仿宋_GB2312" w:hAnsi="仿宋_GB2312" w:cs="仿宋_GB2312"/>
          <w:color w:val="000000"/>
          <w:sz w:val="30"/>
          <w:szCs w:val="30"/>
        </w:rPr>
      </w:pPr>
      <w:r w:rsidRPr="00F476FB">
        <w:rPr>
          <w:rFonts w:ascii="黑体" w:eastAsia="黑体" w:hAnsi="黑体" w:hint="eastAsia"/>
          <w:bCs/>
          <w:color w:val="000000"/>
          <w:sz w:val="30"/>
          <w:szCs w:val="30"/>
        </w:rPr>
        <w:t xml:space="preserve">第二十一条  </w:t>
      </w:r>
      <w:r w:rsidRPr="00F476FB">
        <w:rPr>
          <w:rFonts w:ascii="仿宋_GB2312" w:eastAsia="仿宋_GB2312" w:hAnsi="仿宋_GB2312" w:cs="仿宋_GB2312" w:hint="eastAsia"/>
          <w:color w:val="000000"/>
          <w:sz w:val="30"/>
          <w:szCs w:val="30"/>
        </w:rPr>
        <w:t>本规定中事件或者事故分级，是指按照国际核事件分级标准（INES）对运行事件或者事故进行的分级。</w:t>
      </w:r>
    </w:p>
    <w:p w:rsidR="00EF006C" w:rsidRPr="00F476FB" w:rsidRDefault="00EF006C" w:rsidP="00EF006C">
      <w:pPr>
        <w:shd w:val="clear" w:color="auto" w:fill="FFFFFF"/>
        <w:spacing w:line="360" w:lineRule="auto"/>
        <w:ind w:firstLine="602"/>
        <w:rPr>
          <w:sz w:val="30"/>
          <w:szCs w:val="30"/>
        </w:rPr>
      </w:pPr>
      <w:r w:rsidRPr="00F476FB">
        <w:rPr>
          <w:rFonts w:ascii="黑体" w:eastAsia="黑体" w:hAnsi="黑体" w:hint="eastAsia"/>
          <w:bCs/>
          <w:color w:val="000000"/>
          <w:sz w:val="30"/>
          <w:szCs w:val="30"/>
        </w:rPr>
        <w:t xml:space="preserve">第二十二条  </w:t>
      </w:r>
      <w:r w:rsidRPr="00F476FB">
        <w:rPr>
          <w:rFonts w:ascii="仿宋_GB2312" w:eastAsia="仿宋_GB2312" w:hAnsi="宋体" w:hint="eastAsia"/>
          <w:color w:val="000000"/>
          <w:sz w:val="30"/>
          <w:szCs w:val="30"/>
        </w:rPr>
        <w:t>研究堆营运单位的核安全信息公开，按照有关规定执行。</w:t>
      </w:r>
    </w:p>
    <w:p w:rsidR="00EF006C" w:rsidRPr="00F476FB" w:rsidRDefault="00EF006C" w:rsidP="00EF006C">
      <w:pPr>
        <w:shd w:val="clear" w:color="auto" w:fill="FFFFFF"/>
        <w:spacing w:line="360" w:lineRule="auto"/>
        <w:ind w:firstLine="602"/>
        <w:rPr>
          <w:rFonts w:ascii="仿宋_GB2312" w:eastAsia="仿宋_GB2312" w:hAnsi="宋体"/>
          <w:color w:val="000000"/>
          <w:sz w:val="30"/>
          <w:szCs w:val="30"/>
        </w:rPr>
      </w:pPr>
      <w:r w:rsidRPr="00F476FB">
        <w:rPr>
          <w:rFonts w:ascii="黑体" w:eastAsia="黑体" w:hAnsi="黑体" w:hint="eastAsia"/>
          <w:bCs/>
          <w:color w:val="000000"/>
          <w:sz w:val="30"/>
          <w:szCs w:val="30"/>
        </w:rPr>
        <w:t xml:space="preserve">第二十三条  </w:t>
      </w:r>
      <w:r w:rsidRPr="00F476FB">
        <w:rPr>
          <w:rFonts w:ascii="仿宋_GB2312" w:eastAsia="仿宋_GB2312" w:hAnsi="宋体" w:hint="eastAsia"/>
          <w:color w:val="000000"/>
          <w:sz w:val="30"/>
          <w:szCs w:val="30"/>
        </w:rPr>
        <w:t>本规定由国家核安全局负责解释。</w:t>
      </w:r>
    </w:p>
    <w:p w:rsidR="00EF006C" w:rsidRPr="00F476FB" w:rsidRDefault="00EF006C" w:rsidP="00EF006C">
      <w:pPr>
        <w:shd w:val="clear" w:color="auto" w:fill="FFFFFF"/>
        <w:spacing w:line="360" w:lineRule="auto"/>
        <w:ind w:firstLine="602"/>
        <w:rPr>
          <w:rFonts w:ascii="仿宋_GB2312" w:eastAsia="仿宋_GB2312" w:hAnsi="宋体"/>
          <w:color w:val="000000"/>
          <w:sz w:val="30"/>
          <w:szCs w:val="30"/>
        </w:rPr>
      </w:pPr>
      <w:r w:rsidRPr="00F476FB">
        <w:rPr>
          <w:rFonts w:ascii="黑体" w:eastAsia="黑体" w:hAnsi="黑体" w:hint="eastAsia"/>
          <w:bCs/>
          <w:color w:val="000000"/>
          <w:sz w:val="30"/>
          <w:szCs w:val="30"/>
        </w:rPr>
        <w:lastRenderedPageBreak/>
        <w:t xml:space="preserve">第二十四条  </w:t>
      </w:r>
      <w:r w:rsidRPr="00F476FB">
        <w:rPr>
          <w:rFonts w:ascii="仿宋_GB2312" w:eastAsia="仿宋_GB2312" w:hAnsi="宋体" w:hint="eastAsia"/>
          <w:color w:val="000000"/>
          <w:sz w:val="30"/>
          <w:szCs w:val="30"/>
        </w:rPr>
        <w:t>本规定自2024年9月1日起施行。1995年6月14日国家核安全局发布的《</w:t>
      </w:r>
      <w:r w:rsidRPr="00F476FB">
        <w:rPr>
          <w:rFonts w:ascii="仿宋_GB2312" w:eastAsia="仿宋_GB2312" w:hAnsi="宋体" w:hint="eastAsia"/>
          <w:bCs/>
          <w:color w:val="000000"/>
          <w:sz w:val="30"/>
          <w:szCs w:val="30"/>
        </w:rPr>
        <w:t>研究堆</w:t>
      </w:r>
      <w:r w:rsidRPr="00F476FB">
        <w:rPr>
          <w:rFonts w:ascii="仿宋_GB2312" w:eastAsia="仿宋_GB2312" w:hAnsi="宋体" w:hint="eastAsia"/>
          <w:color w:val="000000"/>
          <w:sz w:val="30"/>
          <w:szCs w:val="30"/>
        </w:rPr>
        <w:t>营运单位报告制度》同时废止。</w:t>
      </w:r>
    </w:p>
    <w:p w:rsidR="00C6351B" w:rsidRPr="00EF006C" w:rsidRDefault="00C6351B" w:rsidP="00EF006C"/>
    <w:sectPr w:rsidR="00C6351B" w:rsidRPr="00EF006C">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C26" w:rsidRDefault="003C5C26">
      <w:r>
        <w:separator/>
      </w:r>
    </w:p>
  </w:endnote>
  <w:endnote w:type="continuationSeparator" w:id="0">
    <w:p w:rsidR="003C5C26" w:rsidRDefault="003C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51B" w:rsidRDefault="00B77335">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351B" w:rsidRDefault="00B7733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F2306">
                            <w:rPr>
                              <w:rFonts w:ascii="宋体" w:eastAsia="宋体" w:hAnsi="宋体" w:cs="宋体"/>
                              <w:noProof/>
                              <w:sz w:val="28"/>
                              <w:szCs w:val="28"/>
                            </w:rPr>
                            <w:t>- 6 -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6351B" w:rsidRDefault="00B7733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F2306">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6351B" w:rsidRDefault="00B77335">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生态环境部发布     </w:t>
    </w:r>
  </w:p>
  <w:p w:rsidR="00C6351B" w:rsidRDefault="00C6351B">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C26" w:rsidRDefault="003C5C26">
      <w:r>
        <w:separator/>
      </w:r>
    </w:p>
  </w:footnote>
  <w:footnote w:type="continuationSeparator" w:id="0">
    <w:p w:rsidR="003C5C26" w:rsidRDefault="003C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51B" w:rsidRDefault="00B77335">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C6351B" w:rsidRDefault="00B77335">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生态环境部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73519A"/>
    <w:multiLevelType w:val="singleLevel"/>
    <w:tmpl w:val="DE73519A"/>
    <w:lvl w:ilvl="0">
      <w:start w:val="1"/>
      <w:numFmt w:val="chineseCounting"/>
      <w:suff w:val="nothing"/>
      <w:lvlText w:val="（%1）"/>
      <w:lvlJc w:val="left"/>
      <w:rPr>
        <w:rFonts w:hint="eastAsia"/>
      </w:rPr>
    </w:lvl>
  </w:abstractNum>
  <w:abstractNum w:abstractNumId="1">
    <w:nsid w:val="5AE9A13B"/>
    <w:multiLevelType w:val="singleLevel"/>
    <w:tmpl w:val="5AE9A13B"/>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yZGM1NjBhNjQwYWNlOTlkZWNjNjkxMDAxMDc1Y2EifQ=="/>
  </w:docVars>
  <w:rsids>
    <w:rsidRoot w:val="00172A27"/>
    <w:rsid w:val="000622CA"/>
    <w:rsid w:val="000A64B2"/>
    <w:rsid w:val="001604CF"/>
    <w:rsid w:val="00172A27"/>
    <w:rsid w:val="00365AB7"/>
    <w:rsid w:val="0036706A"/>
    <w:rsid w:val="003964C0"/>
    <w:rsid w:val="003C5C26"/>
    <w:rsid w:val="003F2306"/>
    <w:rsid w:val="00410DA3"/>
    <w:rsid w:val="004703B7"/>
    <w:rsid w:val="00550F50"/>
    <w:rsid w:val="006F6644"/>
    <w:rsid w:val="007C63F6"/>
    <w:rsid w:val="00815BDF"/>
    <w:rsid w:val="008E3C6A"/>
    <w:rsid w:val="00B05A9B"/>
    <w:rsid w:val="00B77335"/>
    <w:rsid w:val="00C6351B"/>
    <w:rsid w:val="00D640BE"/>
    <w:rsid w:val="00EF006C"/>
    <w:rsid w:val="019E71BD"/>
    <w:rsid w:val="04B679C3"/>
    <w:rsid w:val="080F63D8"/>
    <w:rsid w:val="09341458"/>
    <w:rsid w:val="0B0912D7"/>
    <w:rsid w:val="13032A01"/>
    <w:rsid w:val="152D2DCA"/>
    <w:rsid w:val="19EF4A15"/>
    <w:rsid w:val="1DEC284C"/>
    <w:rsid w:val="1E6523AC"/>
    <w:rsid w:val="22440422"/>
    <w:rsid w:val="31A15F24"/>
    <w:rsid w:val="32A67F5A"/>
    <w:rsid w:val="34D75A17"/>
    <w:rsid w:val="395347B5"/>
    <w:rsid w:val="39A232A0"/>
    <w:rsid w:val="39E745AA"/>
    <w:rsid w:val="3B5A6BBB"/>
    <w:rsid w:val="3EDA13A6"/>
    <w:rsid w:val="41D15DD9"/>
    <w:rsid w:val="42F058B7"/>
    <w:rsid w:val="436109F6"/>
    <w:rsid w:val="441A38D4"/>
    <w:rsid w:val="4BC77339"/>
    <w:rsid w:val="4C9236C5"/>
    <w:rsid w:val="4F674799"/>
    <w:rsid w:val="505C172E"/>
    <w:rsid w:val="52F46F0B"/>
    <w:rsid w:val="53D8014D"/>
    <w:rsid w:val="55E064E0"/>
    <w:rsid w:val="572C6D10"/>
    <w:rsid w:val="5C2E5CBE"/>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uppressAutoHyphen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 w:type="paragraph" w:customStyle="1" w:styleId="10">
    <w:name w:val="列出段落1"/>
    <w:basedOn w:val="a"/>
    <w:qFormat/>
    <w:pPr>
      <w:ind w:firstLineChars="200" w:firstLine="420"/>
    </w:pPr>
  </w:style>
  <w:style w:type="paragraph" w:customStyle="1" w:styleId="msolistparagraph0">
    <w:name w:val="msolistparagraph"/>
    <w:basedOn w:val="a"/>
    <w:qFormat/>
    <w:pPr>
      <w:suppressAutoHyphens/>
      <w:ind w:firstLineChars="200" w:firstLine="420"/>
    </w:pPr>
    <w:rPr>
      <w:rFonts w:ascii="Times New Roman" w:eastAsia="宋体" w:hAnsi="Times New Roman" w:cs="Times New Roman"/>
      <w:szCs w:val="21"/>
    </w:rPr>
  </w:style>
  <w:style w:type="character" w:customStyle="1" w:styleId="1Char">
    <w:name w:val="标题 1 Char"/>
    <w:basedOn w:val="a0"/>
    <w:link w:val="1"/>
    <w:qFormat/>
    <w:rPr>
      <w:rFonts w:ascii="Calibri" w:hAnsi="Calibri"/>
      <w:b/>
      <w:bCs/>
      <w:kern w:val="44"/>
      <w:sz w:val="44"/>
      <w:szCs w:val="44"/>
    </w:rPr>
  </w:style>
  <w:style w:type="character" w:customStyle="1" w:styleId="15">
    <w:name w:val="15"/>
    <w:qFormat/>
    <w:rPr>
      <w:rFonts w:ascii="Times New Roman" w:hAnsi="Times New Roman" w:cs="Times New Roman" w:hint="default"/>
      <w:i/>
    </w:rPr>
  </w:style>
  <w:style w:type="paragraph" w:styleId="a7">
    <w:name w:val="Balloon Text"/>
    <w:basedOn w:val="a"/>
    <w:link w:val="Char"/>
    <w:rsid w:val="008E3C6A"/>
    <w:rPr>
      <w:sz w:val="18"/>
      <w:szCs w:val="18"/>
    </w:rPr>
  </w:style>
  <w:style w:type="character" w:customStyle="1" w:styleId="Char">
    <w:name w:val="批注框文本 Char"/>
    <w:basedOn w:val="a0"/>
    <w:link w:val="a7"/>
    <w:rsid w:val="008E3C6A"/>
    <w:rPr>
      <w:rFonts w:asciiTheme="minorHAnsi" w:eastAsiaTheme="minorEastAsia" w:hAnsiTheme="minorHAnsi" w:cstheme="minorBidi"/>
      <w:kern w:val="2"/>
      <w:sz w:val="18"/>
      <w:szCs w:val="18"/>
    </w:rPr>
  </w:style>
  <w:style w:type="paragraph" w:styleId="a8">
    <w:name w:val="Body Text"/>
    <w:basedOn w:val="a"/>
    <w:link w:val="Char0"/>
    <w:rsid w:val="00410DA3"/>
    <w:pPr>
      <w:spacing w:after="120"/>
    </w:pPr>
    <w:rPr>
      <w:rFonts w:ascii="等线" w:eastAsia="等线" w:hAnsi="等线" w:cs="Times New Roman"/>
      <w:szCs w:val="22"/>
    </w:rPr>
  </w:style>
  <w:style w:type="character" w:customStyle="1" w:styleId="Char0">
    <w:name w:val="正文文本 Char"/>
    <w:basedOn w:val="a0"/>
    <w:link w:val="a8"/>
    <w:rsid w:val="00410DA3"/>
    <w:rPr>
      <w:rFonts w:ascii="等线" w:eastAsia="等线" w:hAnsi="等线"/>
      <w:kern w:val="2"/>
      <w:sz w:val="21"/>
      <w:szCs w:val="22"/>
    </w:rPr>
  </w:style>
  <w:style w:type="character" w:styleId="a9">
    <w:name w:val="Strong"/>
    <w:basedOn w:val="a0"/>
    <w:qFormat/>
    <w:rsid w:val="00410DA3"/>
    <w:rPr>
      <w:b/>
    </w:rPr>
  </w:style>
  <w:style w:type="character" w:styleId="aa">
    <w:name w:val="Hyperlink"/>
    <w:basedOn w:val="a0"/>
    <w:qFormat/>
    <w:rsid w:val="00410DA3"/>
    <w:rPr>
      <w:color w:val="0000FF"/>
      <w:u w:val="single"/>
    </w:rPr>
  </w:style>
  <w:style w:type="paragraph" w:customStyle="1" w:styleId="p0">
    <w:name w:val="p0"/>
    <w:basedOn w:val="a"/>
    <w:qFormat/>
    <w:rsid w:val="00410DA3"/>
    <w:pPr>
      <w:widowControl/>
    </w:pPr>
    <w:rPr>
      <w:rFonts w:ascii="等线" w:eastAsia="仿宋_GB2312" w:hAnsi="等线" w:cs="Times New Roman"/>
      <w:sz w:val="32"/>
      <w:szCs w:val="20"/>
    </w:rPr>
  </w:style>
  <w:style w:type="paragraph" w:customStyle="1" w:styleId="WPSOffice1">
    <w:name w:val="WPSOffice手动目录 1"/>
    <w:qFormat/>
    <w:rsid w:val="00410DA3"/>
  </w:style>
  <w:style w:type="paragraph" w:customStyle="1" w:styleId="11">
    <w:name w:val="无间隔1"/>
    <w:qFormat/>
    <w:rsid w:val="00EF006C"/>
    <w:pPr>
      <w:widowControl w:val="0"/>
      <w:ind w:firstLineChars="200" w:firstLine="200"/>
      <w:jc w:val="both"/>
    </w:pPr>
    <w:rPr>
      <w:kern w:val="2"/>
      <w:sz w:val="24"/>
      <w:szCs w:val="22"/>
    </w:rPr>
  </w:style>
  <w:style w:type="character" w:customStyle="1" w:styleId="pp11">
    <w:name w:val="pp11"/>
    <w:qFormat/>
    <w:rsid w:val="00EF0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uppressAutoHyphen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 w:type="paragraph" w:customStyle="1" w:styleId="10">
    <w:name w:val="列出段落1"/>
    <w:basedOn w:val="a"/>
    <w:qFormat/>
    <w:pPr>
      <w:ind w:firstLineChars="200" w:firstLine="420"/>
    </w:pPr>
  </w:style>
  <w:style w:type="paragraph" w:customStyle="1" w:styleId="msolistparagraph0">
    <w:name w:val="msolistparagraph"/>
    <w:basedOn w:val="a"/>
    <w:qFormat/>
    <w:pPr>
      <w:suppressAutoHyphens/>
      <w:ind w:firstLineChars="200" w:firstLine="420"/>
    </w:pPr>
    <w:rPr>
      <w:rFonts w:ascii="Times New Roman" w:eastAsia="宋体" w:hAnsi="Times New Roman" w:cs="Times New Roman"/>
      <w:szCs w:val="21"/>
    </w:rPr>
  </w:style>
  <w:style w:type="character" w:customStyle="1" w:styleId="1Char">
    <w:name w:val="标题 1 Char"/>
    <w:basedOn w:val="a0"/>
    <w:link w:val="1"/>
    <w:qFormat/>
    <w:rPr>
      <w:rFonts w:ascii="Calibri" w:hAnsi="Calibri"/>
      <w:b/>
      <w:bCs/>
      <w:kern w:val="44"/>
      <w:sz w:val="44"/>
      <w:szCs w:val="44"/>
    </w:rPr>
  </w:style>
  <w:style w:type="character" w:customStyle="1" w:styleId="15">
    <w:name w:val="15"/>
    <w:qFormat/>
    <w:rPr>
      <w:rFonts w:ascii="Times New Roman" w:hAnsi="Times New Roman" w:cs="Times New Roman" w:hint="default"/>
      <w:i/>
    </w:rPr>
  </w:style>
  <w:style w:type="paragraph" w:styleId="a7">
    <w:name w:val="Balloon Text"/>
    <w:basedOn w:val="a"/>
    <w:link w:val="Char"/>
    <w:rsid w:val="008E3C6A"/>
    <w:rPr>
      <w:sz w:val="18"/>
      <w:szCs w:val="18"/>
    </w:rPr>
  </w:style>
  <w:style w:type="character" w:customStyle="1" w:styleId="Char">
    <w:name w:val="批注框文本 Char"/>
    <w:basedOn w:val="a0"/>
    <w:link w:val="a7"/>
    <w:rsid w:val="008E3C6A"/>
    <w:rPr>
      <w:rFonts w:asciiTheme="minorHAnsi" w:eastAsiaTheme="minorEastAsia" w:hAnsiTheme="minorHAnsi" w:cstheme="minorBidi"/>
      <w:kern w:val="2"/>
      <w:sz w:val="18"/>
      <w:szCs w:val="18"/>
    </w:rPr>
  </w:style>
  <w:style w:type="paragraph" w:styleId="a8">
    <w:name w:val="Body Text"/>
    <w:basedOn w:val="a"/>
    <w:link w:val="Char0"/>
    <w:rsid w:val="00410DA3"/>
    <w:pPr>
      <w:spacing w:after="120"/>
    </w:pPr>
    <w:rPr>
      <w:rFonts w:ascii="等线" w:eastAsia="等线" w:hAnsi="等线" w:cs="Times New Roman"/>
      <w:szCs w:val="22"/>
    </w:rPr>
  </w:style>
  <w:style w:type="character" w:customStyle="1" w:styleId="Char0">
    <w:name w:val="正文文本 Char"/>
    <w:basedOn w:val="a0"/>
    <w:link w:val="a8"/>
    <w:rsid w:val="00410DA3"/>
    <w:rPr>
      <w:rFonts w:ascii="等线" w:eastAsia="等线" w:hAnsi="等线"/>
      <w:kern w:val="2"/>
      <w:sz w:val="21"/>
      <w:szCs w:val="22"/>
    </w:rPr>
  </w:style>
  <w:style w:type="character" w:styleId="a9">
    <w:name w:val="Strong"/>
    <w:basedOn w:val="a0"/>
    <w:qFormat/>
    <w:rsid w:val="00410DA3"/>
    <w:rPr>
      <w:b/>
    </w:rPr>
  </w:style>
  <w:style w:type="character" w:styleId="aa">
    <w:name w:val="Hyperlink"/>
    <w:basedOn w:val="a0"/>
    <w:qFormat/>
    <w:rsid w:val="00410DA3"/>
    <w:rPr>
      <w:color w:val="0000FF"/>
      <w:u w:val="single"/>
    </w:rPr>
  </w:style>
  <w:style w:type="paragraph" w:customStyle="1" w:styleId="p0">
    <w:name w:val="p0"/>
    <w:basedOn w:val="a"/>
    <w:qFormat/>
    <w:rsid w:val="00410DA3"/>
    <w:pPr>
      <w:widowControl/>
    </w:pPr>
    <w:rPr>
      <w:rFonts w:ascii="等线" w:eastAsia="仿宋_GB2312" w:hAnsi="等线" w:cs="Times New Roman"/>
      <w:sz w:val="32"/>
      <w:szCs w:val="20"/>
    </w:rPr>
  </w:style>
  <w:style w:type="paragraph" w:customStyle="1" w:styleId="WPSOffice1">
    <w:name w:val="WPSOffice手动目录 1"/>
    <w:qFormat/>
    <w:rsid w:val="00410DA3"/>
  </w:style>
  <w:style w:type="paragraph" w:customStyle="1" w:styleId="11">
    <w:name w:val="无间隔1"/>
    <w:qFormat/>
    <w:rsid w:val="00EF006C"/>
    <w:pPr>
      <w:widowControl w:val="0"/>
      <w:ind w:firstLineChars="200" w:firstLine="200"/>
      <w:jc w:val="both"/>
    </w:pPr>
    <w:rPr>
      <w:kern w:val="2"/>
      <w:sz w:val="24"/>
      <w:szCs w:val="22"/>
    </w:rPr>
  </w:style>
  <w:style w:type="character" w:customStyle="1" w:styleId="pp11">
    <w:name w:val="pp11"/>
    <w:qFormat/>
    <w:rsid w:val="00EF0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721</Words>
  <Characters>4110</Characters>
  <Application>Microsoft Office Word</Application>
  <DocSecurity>0</DocSecurity>
  <Lines>34</Lines>
  <Paragraphs>9</Paragraphs>
  <ScaleCrop>false</ScaleCrop>
  <Company>Microsoft</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周兵</cp:lastModifiedBy>
  <cp:revision>4</cp:revision>
  <cp:lastPrinted>2024-04-08T01:54:00Z</cp:lastPrinted>
  <dcterms:created xsi:type="dcterms:W3CDTF">2024-08-02T01:26:00Z</dcterms:created>
  <dcterms:modified xsi:type="dcterms:W3CDTF">2024-08-09T07:53:00Z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48C61CB29D3F4D9384F5922CF0F7FFB4</vt:lpwstr>
  </property>
</Properties>
</file>